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9EFB9" w14:textId="77777777" w:rsidR="00103B0F" w:rsidRPr="003B1C24" w:rsidRDefault="00103B0F" w:rsidP="00FE66EC">
      <w:pPr>
        <w:jc w:val="both"/>
        <w:rPr>
          <w:b/>
        </w:rPr>
      </w:pPr>
      <w:r w:rsidRPr="003B1C24">
        <w:rPr>
          <w:b/>
        </w:rPr>
        <w:t>SCHEDA SU LIQUEFAZIONE</w:t>
      </w:r>
    </w:p>
    <w:p w14:paraId="539E611A" w14:textId="77777777" w:rsidR="00103B0F" w:rsidRDefault="00103B0F" w:rsidP="00FE66EC">
      <w:pPr>
        <w:jc w:val="both"/>
      </w:pPr>
      <w:r>
        <w:t xml:space="preserve">A cura di </w:t>
      </w:r>
      <w:smartTag w:uri="urn:schemas-microsoft-com:office:smarttags" w:element="PersonName">
        <w:r>
          <w:t>Diego Lo Presti</w:t>
        </w:r>
      </w:smartTag>
      <w:r>
        <w:t xml:space="preserve"> Dipartimento di Ingegneria Civile Università di Pisa</w:t>
      </w:r>
    </w:p>
    <w:p w14:paraId="7DFFF490" w14:textId="77777777" w:rsidR="00103B0F" w:rsidRDefault="00103B0F" w:rsidP="00FE66EC">
      <w:pPr>
        <w:jc w:val="both"/>
      </w:pPr>
    </w:p>
    <w:p w14:paraId="5F563B83" w14:textId="77777777" w:rsidR="00103B0F" w:rsidRPr="003B1C24" w:rsidRDefault="00103B0F" w:rsidP="00FE66EC">
      <w:pPr>
        <w:jc w:val="both"/>
        <w:rPr>
          <w:b/>
        </w:rPr>
      </w:pPr>
      <w:r w:rsidRPr="003B1C24">
        <w:rPr>
          <w:b/>
        </w:rPr>
        <w:t>Obiettivo:</w:t>
      </w:r>
    </w:p>
    <w:p w14:paraId="0A35EC88" w14:textId="77777777" w:rsidR="00103B0F" w:rsidRDefault="00103B0F" w:rsidP="00FE66EC">
      <w:pPr>
        <w:jc w:val="both"/>
      </w:pPr>
      <w:r>
        <w:t>Descrizione del fenomeno e dei suoi effetti sul territorio le costruzioni e le infrastrutture. Metodi di analisi e indagini necessarie. Contromisure</w:t>
      </w:r>
    </w:p>
    <w:p w14:paraId="51BFCC03" w14:textId="77777777" w:rsidR="00103B0F" w:rsidRDefault="00103B0F" w:rsidP="00FE66EC">
      <w:pPr>
        <w:jc w:val="both"/>
      </w:pPr>
    </w:p>
    <w:p w14:paraId="4602682E" w14:textId="77777777" w:rsidR="00103B0F" w:rsidRPr="003B1C24" w:rsidRDefault="00103B0F" w:rsidP="00FE66EC">
      <w:pPr>
        <w:jc w:val="both"/>
        <w:rPr>
          <w:b/>
        </w:rPr>
      </w:pPr>
      <w:r w:rsidRPr="003B1C24">
        <w:rPr>
          <w:b/>
        </w:rPr>
        <w:t>Definizione:</w:t>
      </w:r>
    </w:p>
    <w:p w14:paraId="6563856D" w14:textId="77777777" w:rsidR="00103B0F" w:rsidRDefault="00103B0F" w:rsidP="00FE66EC">
      <w:pPr>
        <w:jc w:val="both"/>
      </w:pPr>
      <w:r>
        <w:t>La liquefazione è un fenomeno catastrofico che interessa i depositi sabbiosi saturi per effetto di un rapido e significativo aumento della pressione interstiziale</w:t>
      </w:r>
      <w:r w:rsidR="003B1C24">
        <w:t xml:space="preserve"> (</w:t>
      </w:r>
      <w:r w:rsidR="00ED61A8">
        <w:t>u</w:t>
      </w:r>
      <w:r w:rsidR="003B1C24">
        <w:t>)</w:t>
      </w:r>
      <w:r>
        <w:t xml:space="preserve">. </w:t>
      </w:r>
      <w:r w:rsidR="003B1C24">
        <w:t>In tali condizioni i terreni sabbiosi non-cementati attingono valori nulli o estremamente modesti della resistenza al taglio trasformandosi di fatto in un liquido pesante. L’aumento della pressione interstiziale può essere indotto da fenomeni di filtrazione o da un forte evento sismico.</w:t>
      </w:r>
    </w:p>
    <w:p w14:paraId="360282D6" w14:textId="77777777" w:rsidR="00103B0F" w:rsidRDefault="00103B0F" w:rsidP="00FE66EC">
      <w:pPr>
        <w:jc w:val="both"/>
      </w:pPr>
    </w:p>
    <w:p w14:paraId="19621639" w14:textId="77777777" w:rsidR="003B1C24" w:rsidRPr="003B1C24" w:rsidRDefault="00103B0F" w:rsidP="00FE66EC">
      <w:pPr>
        <w:jc w:val="both"/>
        <w:rPr>
          <w:b/>
        </w:rPr>
      </w:pPr>
      <w:r w:rsidRPr="003B1C24">
        <w:rPr>
          <w:b/>
        </w:rPr>
        <w:t>Fisica del fenomeno</w:t>
      </w:r>
      <w:r w:rsidR="003B1C24" w:rsidRPr="003B1C24">
        <w:rPr>
          <w:b/>
        </w:rPr>
        <w:t>, effetti sul territorio le costruzioni e le infrastrutture</w:t>
      </w:r>
    </w:p>
    <w:p w14:paraId="62FB5150" w14:textId="77777777" w:rsidR="003B1C24" w:rsidRDefault="003B1C24" w:rsidP="00FE66EC">
      <w:pPr>
        <w:jc w:val="both"/>
        <w:rPr>
          <w:bCs/>
        </w:rPr>
      </w:pPr>
      <w:r>
        <w:rPr>
          <w:bCs/>
        </w:rPr>
        <w:t>Gli sforzi di taglio ciclico</w:t>
      </w:r>
      <w:r w:rsidRPr="003B1C24">
        <w:rPr>
          <w:bCs/>
        </w:rPr>
        <w:t xml:space="preserve"> inducono, in condizio</w:t>
      </w:r>
      <w:r w:rsidR="0015061D">
        <w:rPr>
          <w:bCs/>
        </w:rPr>
        <w:t>ni drenate, delle riduzioni di volume nei terreni sabbiosi sciolti (bassi valori della densità relativa D</w:t>
      </w:r>
      <w:r w:rsidR="0015061D" w:rsidRPr="0015061D">
        <w:rPr>
          <w:bCs/>
          <w:vertAlign w:val="subscript"/>
        </w:rPr>
        <w:t>r</w:t>
      </w:r>
      <w:r w:rsidR="0015061D">
        <w:rPr>
          <w:bCs/>
        </w:rPr>
        <w:t>). L’evento sismico può essere schematizzato come una rapida successione temporale di sforzi di taglio (un evento ha durata da pochi secondi ad alcune decine di secondi). La risposta d</w:t>
      </w:r>
      <w:r w:rsidR="00ED61A8">
        <w:rPr>
          <w:bCs/>
        </w:rPr>
        <w:t>e</w:t>
      </w:r>
      <w:r w:rsidR="0015061D">
        <w:rPr>
          <w:bCs/>
        </w:rPr>
        <w:t>i terreni sabbiosi a questo tipo di sollecitazione (rapida) è di tipo non drenato nonostante essi abbiano una permeabilità elevata. In altre parole la sollecitazione si sviluppa così rapidamente che</w:t>
      </w:r>
      <w:r w:rsidR="00ED61A8">
        <w:rPr>
          <w:bCs/>
        </w:rPr>
        <w:t xml:space="preserve"> invece di dar luogo ad una variazione di volume si manifesta un aumento della u. </w:t>
      </w:r>
      <w:r w:rsidR="00A974E4">
        <w:rPr>
          <w:bCs/>
        </w:rPr>
        <w:t>Richiamando</w:t>
      </w:r>
      <w:r w:rsidR="00ED61A8">
        <w:rPr>
          <w:bCs/>
        </w:rPr>
        <w:t xml:space="preserve"> </w:t>
      </w:r>
      <w:r w:rsidR="00CE795C">
        <w:rPr>
          <w:bCs/>
        </w:rPr>
        <w:t xml:space="preserve">il criterio di Mohr - Coulomb - Terzaghi </w:t>
      </w:r>
      <w:r w:rsidR="00A974E4">
        <w:rPr>
          <w:rFonts w:ascii="Symbol" w:hAnsi="Symbol"/>
          <w:bCs/>
        </w:rPr>
        <w:t></w:t>
      </w:r>
      <w:r w:rsidR="00A974E4" w:rsidRPr="003B1C24">
        <w:rPr>
          <w:rFonts w:ascii="Symbol" w:hAnsi="Symbol"/>
          <w:bCs/>
        </w:rPr>
        <w:t></w:t>
      </w:r>
      <w:r w:rsidR="00A974E4" w:rsidRPr="003B1C24">
        <w:rPr>
          <w:bCs/>
          <w:vertAlign w:val="subscript"/>
        </w:rPr>
        <w:t>ff</w:t>
      </w:r>
      <w:r w:rsidR="00A974E4" w:rsidRPr="003B1C24">
        <w:rPr>
          <w:rFonts w:ascii="Symbol" w:hAnsi="Symbol"/>
          <w:bCs/>
        </w:rPr>
        <w:t></w:t>
      </w:r>
      <w:r w:rsidR="00A974E4" w:rsidRPr="003B1C24">
        <w:rPr>
          <w:rFonts w:ascii="Symbol" w:hAnsi="Symbol"/>
          <w:bCs/>
        </w:rPr>
        <w:t></w:t>
      </w:r>
      <w:r w:rsidR="00A974E4" w:rsidRPr="003B1C24">
        <w:rPr>
          <w:rFonts w:ascii="Symbol" w:hAnsi="Symbol"/>
          <w:bCs/>
        </w:rPr>
        <w:t></w:t>
      </w:r>
      <w:r w:rsidR="00A974E4" w:rsidRPr="003B1C24">
        <w:rPr>
          <w:rFonts w:ascii="Symbol" w:hAnsi="Symbol"/>
          <w:bCs/>
        </w:rPr>
        <w:t></w:t>
      </w:r>
      <w:r w:rsidR="00A974E4" w:rsidRPr="003B1C24">
        <w:rPr>
          <w:rFonts w:ascii="Symbol" w:hAnsi="Symbol"/>
          <w:bCs/>
        </w:rPr>
        <w:t></w:t>
      </w:r>
      <w:proofErr w:type="spellStart"/>
      <w:r w:rsidR="00A974E4" w:rsidRPr="003B1C24">
        <w:rPr>
          <w:bCs/>
          <w:vertAlign w:val="subscript"/>
        </w:rPr>
        <w:t>ff</w:t>
      </w:r>
      <w:r w:rsidR="00A974E4" w:rsidRPr="003B1C24">
        <w:rPr>
          <w:rFonts w:ascii="Symbol" w:hAnsi="Symbol"/>
          <w:bCs/>
        </w:rPr>
        <w:t></w:t>
      </w:r>
      <w:r w:rsidR="00A974E4" w:rsidRPr="003B1C24">
        <w:rPr>
          <w:bCs/>
        </w:rPr>
        <w:t>u</w:t>
      </w:r>
      <w:r w:rsidR="00A974E4" w:rsidRPr="003B1C24">
        <w:rPr>
          <w:rFonts w:ascii="Symbol" w:hAnsi="Symbol"/>
          <w:bCs/>
        </w:rPr>
        <w:t></w:t>
      </w:r>
      <w:r w:rsidR="00A974E4" w:rsidRPr="003B1C24">
        <w:rPr>
          <w:bCs/>
        </w:rPr>
        <w:t>tan</w:t>
      </w:r>
      <w:proofErr w:type="spellEnd"/>
      <w:r w:rsidR="00A974E4" w:rsidRPr="003B1C24">
        <w:rPr>
          <w:rFonts w:ascii="Symbol" w:hAnsi="Symbol"/>
          <w:bCs/>
        </w:rPr>
        <w:t></w:t>
      </w:r>
      <w:r w:rsidR="00A974E4" w:rsidRPr="00DE2220">
        <w:rPr>
          <w:bCs/>
        </w:rPr>
        <w:t>‘+</w:t>
      </w:r>
      <w:r w:rsidR="00A974E4" w:rsidRPr="003B1C24">
        <w:rPr>
          <w:bCs/>
        </w:rPr>
        <w:t xml:space="preserve"> c’</w:t>
      </w:r>
      <w:r w:rsidR="00A974E4">
        <w:rPr>
          <w:bCs/>
        </w:rPr>
        <w:t xml:space="preserve">) </w:t>
      </w:r>
      <w:r w:rsidR="00ED61A8">
        <w:rPr>
          <w:bCs/>
        </w:rPr>
        <w:t xml:space="preserve">per </w:t>
      </w:r>
      <w:r w:rsidR="00A974E4">
        <w:rPr>
          <w:bCs/>
        </w:rPr>
        <w:t>descrivere l’inviluppo d</w:t>
      </w:r>
      <w:r w:rsidR="00ED61A8">
        <w:rPr>
          <w:bCs/>
        </w:rPr>
        <w:t xml:space="preserve">i </w:t>
      </w:r>
      <w:r w:rsidR="00A974E4">
        <w:rPr>
          <w:bCs/>
        </w:rPr>
        <w:t xml:space="preserve">rottura dei </w:t>
      </w:r>
      <w:r w:rsidR="00ED61A8">
        <w:rPr>
          <w:bCs/>
        </w:rPr>
        <w:t xml:space="preserve">terreni </w:t>
      </w:r>
      <w:r w:rsidR="00A974E4">
        <w:rPr>
          <w:bCs/>
        </w:rPr>
        <w:t xml:space="preserve">e ricordando che nei terreni sabbiosi non cementati </w:t>
      </w:r>
      <w:r w:rsidR="00DE2220">
        <w:rPr>
          <w:bCs/>
        </w:rPr>
        <w:t xml:space="preserve">la coesione apparente </w:t>
      </w:r>
      <w:r w:rsidR="00A974E4">
        <w:rPr>
          <w:bCs/>
        </w:rPr>
        <w:t>c’ =</w:t>
      </w:r>
      <w:r w:rsidR="00DE2220">
        <w:rPr>
          <w:bCs/>
        </w:rPr>
        <w:t xml:space="preserve"> </w:t>
      </w:r>
      <w:r w:rsidR="00A974E4">
        <w:rPr>
          <w:bCs/>
        </w:rPr>
        <w:t>0</w:t>
      </w:r>
      <w:r w:rsidR="00DE2220">
        <w:rPr>
          <w:bCs/>
        </w:rPr>
        <w:t xml:space="preserve">, ne consegue che un aumento significativo della u può condurre a valori nulli o trascurabili di </w:t>
      </w:r>
      <w:r w:rsidR="00DE2220">
        <w:rPr>
          <w:rFonts w:ascii="Symbol" w:hAnsi="Symbol"/>
          <w:bCs/>
        </w:rPr>
        <w:t></w:t>
      </w:r>
      <w:r w:rsidR="00DE2220" w:rsidRPr="003B1C24">
        <w:rPr>
          <w:rFonts w:ascii="Symbol" w:hAnsi="Symbol"/>
          <w:bCs/>
        </w:rPr>
        <w:t></w:t>
      </w:r>
      <w:proofErr w:type="spellStart"/>
      <w:r w:rsidR="00DE2220" w:rsidRPr="003B1C24">
        <w:rPr>
          <w:bCs/>
          <w:vertAlign w:val="subscript"/>
        </w:rPr>
        <w:t>ff</w:t>
      </w:r>
      <w:r w:rsidR="00DE2220" w:rsidRPr="003B1C24">
        <w:rPr>
          <w:rFonts w:ascii="Symbol" w:hAnsi="Symbol"/>
          <w:bCs/>
        </w:rPr>
        <w:t></w:t>
      </w:r>
      <w:r w:rsidR="00DE2220" w:rsidRPr="003B1C24">
        <w:rPr>
          <w:bCs/>
        </w:rPr>
        <w:t>u</w:t>
      </w:r>
      <w:proofErr w:type="spellEnd"/>
      <w:r w:rsidR="00697C42">
        <w:rPr>
          <w:bCs/>
        </w:rPr>
        <w:t xml:space="preserve"> (</w:t>
      </w:r>
      <w:r w:rsidR="00DE2220">
        <w:rPr>
          <w:bCs/>
        </w:rPr>
        <w:t>sforzo normale efficace sul piano di rottura a rottura) e quindi</w:t>
      </w:r>
      <w:r w:rsidR="00DE2220">
        <w:rPr>
          <w:rFonts w:ascii="Symbol" w:hAnsi="Symbol"/>
          <w:bCs/>
        </w:rPr>
        <w:t></w:t>
      </w:r>
      <w:r w:rsidR="00DE2220">
        <w:rPr>
          <w:bCs/>
        </w:rPr>
        <w:t xml:space="preserve"> di </w:t>
      </w:r>
      <w:r w:rsidR="00DE2220" w:rsidRPr="003B1C24">
        <w:rPr>
          <w:rFonts w:ascii="Symbol" w:hAnsi="Symbol"/>
          <w:bCs/>
        </w:rPr>
        <w:t></w:t>
      </w:r>
      <w:r w:rsidR="00DE2220" w:rsidRPr="003B1C24">
        <w:rPr>
          <w:bCs/>
          <w:vertAlign w:val="subscript"/>
        </w:rPr>
        <w:t>ff</w:t>
      </w:r>
      <w:r w:rsidR="00DE2220" w:rsidRPr="00DE2220">
        <w:rPr>
          <w:bCs/>
        </w:rPr>
        <w:t> (sforzo di taglio a rottura sul piano di rottura)</w:t>
      </w:r>
      <w:r w:rsidR="00DE2220">
        <w:rPr>
          <w:bCs/>
        </w:rPr>
        <w:t>.</w:t>
      </w:r>
    </w:p>
    <w:p w14:paraId="5E6B4446" w14:textId="77777777" w:rsidR="00DE2220" w:rsidRDefault="00697C42" w:rsidP="00FE66EC">
      <w:pPr>
        <w:jc w:val="both"/>
        <w:rPr>
          <w:bCs/>
        </w:rPr>
      </w:pPr>
      <w:r>
        <w:rPr>
          <w:bCs/>
        </w:rPr>
        <w:t xml:space="preserve">Il fenomeno può verificarsi in condizioni di campo libero (free – field), ovverosia in condizioni pianeggianti. In questo caso le tensioni geostatiche (tensioni dovute al peso proprio del terreno) sono tensioni principali </w:t>
      </w:r>
      <w:r w:rsidR="006820EE">
        <w:rPr>
          <w:bCs/>
        </w:rPr>
        <w:t>per cui</w:t>
      </w:r>
      <w:r>
        <w:rPr>
          <w:bCs/>
        </w:rPr>
        <w:t xml:space="preserve"> gli sforzi di taglio indotti dal terremoto </w:t>
      </w:r>
      <w:r w:rsidR="006820EE">
        <w:rPr>
          <w:bCs/>
        </w:rPr>
        <w:t xml:space="preserve">non si sommano a sforzi di taglio pre-esistenti in condizioni statiche. Il verificarsi del fenomeno della liquefazione in queste condizioni comporta un aumento della u con successive variazioni di volume nel terreno. Gli effetti della liquefazione in condizioni di free-field sono </w:t>
      </w:r>
      <w:r w:rsidR="0028349D">
        <w:rPr>
          <w:bCs/>
        </w:rPr>
        <w:t>i cedimenti della superficie del terreno, inoltre la sovrapressione dell’acqua trova sfogo verso l’alto dando luogo a rapidi fenomeni di filtrazione che si manifestano in getti d’acqua con formazione di vulcanelli di sabbia intorno alle bocche d’</w:t>
      </w:r>
      <w:proofErr w:type="spellStart"/>
      <w:r w:rsidR="0028349D">
        <w:rPr>
          <w:bCs/>
        </w:rPr>
        <w:t>uscità</w:t>
      </w:r>
      <w:proofErr w:type="spellEnd"/>
      <w:r w:rsidR="0028349D">
        <w:rPr>
          <w:bCs/>
        </w:rPr>
        <w:t xml:space="preserve"> dell’acqua in pressione. I fenomeni prima descritti possono danneggiare la viabilità e la rete di sottoservizi (ad esempio sollevamento di tubazioni interrate)</w:t>
      </w:r>
      <w:r w:rsidR="006820EE">
        <w:rPr>
          <w:bCs/>
        </w:rPr>
        <w:t>.</w:t>
      </w:r>
    </w:p>
    <w:p w14:paraId="542725F1" w14:textId="77777777" w:rsidR="006820EE" w:rsidRPr="003B1C24" w:rsidRDefault="006820EE" w:rsidP="00FE66EC">
      <w:pPr>
        <w:jc w:val="both"/>
        <w:rPr>
          <w:bCs/>
        </w:rPr>
      </w:pPr>
    </w:p>
    <w:p w14:paraId="7CE779B2" w14:textId="77777777" w:rsidR="00103B0F" w:rsidRDefault="006820EE" w:rsidP="00FE66EC">
      <w:pPr>
        <w:jc w:val="both"/>
      </w:pPr>
      <w:r>
        <w:t xml:space="preserve">Al di sotto di edifici, rilevati o in un pendio naturale gli sforzi di taglio indotti dal terremoto si sommano a quelli pre-esistenti in condizioni statiche. </w:t>
      </w:r>
      <w:r>
        <w:rPr>
          <w:bCs/>
        </w:rPr>
        <w:t xml:space="preserve">Il verificarsi del fenomeno della liquefazione in queste condizioni </w:t>
      </w:r>
      <w:r w:rsidR="00CF603D">
        <w:rPr>
          <w:bCs/>
        </w:rPr>
        <w:t xml:space="preserve">può </w:t>
      </w:r>
      <w:r>
        <w:rPr>
          <w:bCs/>
        </w:rPr>
        <w:t xml:space="preserve">portare ad una liquefazione completa </w:t>
      </w:r>
      <w:r w:rsidR="0028349D">
        <w:rPr>
          <w:bCs/>
        </w:rPr>
        <w:t xml:space="preserve">(flow </w:t>
      </w:r>
      <w:proofErr w:type="spellStart"/>
      <w:r w:rsidR="0028349D">
        <w:rPr>
          <w:bCs/>
        </w:rPr>
        <w:t>liquefaction</w:t>
      </w:r>
      <w:proofErr w:type="spellEnd"/>
      <w:r w:rsidR="0028349D">
        <w:rPr>
          <w:bCs/>
        </w:rPr>
        <w:t xml:space="preserve">) </w:t>
      </w:r>
      <w:r>
        <w:rPr>
          <w:bCs/>
        </w:rPr>
        <w:t>o parziale</w:t>
      </w:r>
      <w:r w:rsidR="0028349D">
        <w:rPr>
          <w:bCs/>
        </w:rPr>
        <w:t xml:space="preserve"> (</w:t>
      </w:r>
      <w:proofErr w:type="spellStart"/>
      <w:r w:rsidR="0028349D">
        <w:rPr>
          <w:bCs/>
        </w:rPr>
        <w:t>cyclic</w:t>
      </w:r>
      <w:proofErr w:type="spellEnd"/>
      <w:r w:rsidR="0028349D">
        <w:rPr>
          <w:bCs/>
        </w:rPr>
        <w:t xml:space="preserve"> </w:t>
      </w:r>
      <w:proofErr w:type="spellStart"/>
      <w:r w:rsidR="0028349D">
        <w:rPr>
          <w:bCs/>
        </w:rPr>
        <w:t>mobility</w:t>
      </w:r>
      <w:proofErr w:type="spellEnd"/>
      <w:r w:rsidR="0028349D">
        <w:rPr>
          <w:bCs/>
        </w:rPr>
        <w:t>)</w:t>
      </w:r>
      <w:r>
        <w:rPr>
          <w:bCs/>
        </w:rPr>
        <w:t xml:space="preserve">. La liquefazione completa </w:t>
      </w:r>
      <w:r w:rsidR="0028349D">
        <w:rPr>
          <w:bCs/>
        </w:rPr>
        <w:t xml:space="preserve">si verifica quando gli sforzi di taglio pre-esistenti sono superiori alla resistenza del materiale liquefatto e </w:t>
      </w:r>
      <w:r>
        <w:rPr>
          <w:bCs/>
        </w:rPr>
        <w:t xml:space="preserve">comporta la totale perdita di stabilità </w:t>
      </w:r>
      <w:r w:rsidR="00E069AE">
        <w:rPr>
          <w:bCs/>
        </w:rPr>
        <w:t>del terreno</w:t>
      </w:r>
      <w:r w:rsidR="0028349D">
        <w:rPr>
          <w:bCs/>
        </w:rPr>
        <w:t>.</w:t>
      </w:r>
      <w:r>
        <w:rPr>
          <w:bCs/>
        </w:rPr>
        <w:t xml:space="preserve"> </w:t>
      </w:r>
      <w:r w:rsidR="0028349D">
        <w:rPr>
          <w:bCs/>
        </w:rPr>
        <w:t>I</w:t>
      </w:r>
      <w:r>
        <w:rPr>
          <w:bCs/>
        </w:rPr>
        <w:t xml:space="preserve"> suoi effetti sono il ribaltamento </w:t>
      </w:r>
      <w:r w:rsidR="0028349D">
        <w:rPr>
          <w:bCs/>
        </w:rPr>
        <w:t xml:space="preserve">o l’affondamento </w:t>
      </w:r>
      <w:r>
        <w:rPr>
          <w:bCs/>
        </w:rPr>
        <w:t xml:space="preserve">di edifici, </w:t>
      </w:r>
      <w:r w:rsidR="0028349D">
        <w:rPr>
          <w:bCs/>
        </w:rPr>
        <w:t xml:space="preserve">il </w:t>
      </w:r>
      <w:r>
        <w:rPr>
          <w:bCs/>
        </w:rPr>
        <w:t xml:space="preserve">galleggiamento di strutture interrate, frane, </w:t>
      </w:r>
      <w:proofErr w:type="spellStart"/>
      <w:proofErr w:type="gramStart"/>
      <w:r>
        <w:rPr>
          <w:bCs/>
        </w:rPr>
        <w:t>etc</w:t>
      </w:r>
      <w:proofErr w:type="spellEnd"/>
      <w:r>
        <w:rPr>
          <w:bCs/>
        </w:rPr>
        <w:t>….</w:t>
      </w:r>
      <w:proofErr w:type="gramEnd"/>
      <w:r>
        <w:rPr>
          <w:bCs/>
        </w:rPr>
        <w:t>.</w:t>
      </w:r>
      <w:r w:rsidR="00E069AE">
        <w:rPr>
          <w:bCs/>
        </w:rPr>
        <w:t xml:space="preserve"> Nel caso di liquefazione parziale vengono ind</w:t>
      </w:r>
      <w:r w:rsidR="00CF603D">
        <w:rPr>
          <w:bCs/>
        </w:rPr>
        <w:t>o</w:t>
      </w:r>
      <w:r w:rsidR="00E069AE">
        <w:rPr>
          <w:bCs/>
        </w:rPr>
        <w:t>tti nel terreno elevati sforzi di taglio che causano cedimenti anche rilevanti di edifici esistenti e grossi spostamenti di pendii.</w:t>
      </w:r>
      <w:r w:rsidR="00CF603D">
        <w:rPr>
          <w:bCs/>
        </w:rPr>
        <w:t xml:space="preserve"> L’instaurarsi di una liquefazione completa o parziale dipende </w:t>
      </w:r>
      <w:r w:rsidR="0028349D">
        <w:rPr>
          <w:bCs/>
        </w:rPr>
        <w:t xml:space="preserve">quindi </w:t>
      </w:r>
      <w:r w:rsidR="00CF603D">
        <w:rPr>
          <w:bCs/>
        </w:rPr>
        <w:t xml:space="preserve">dall’entità degli sforzi di taglio indotti dal sisma, dall’entità degli sforzi di taglio pre-esistenti e </w:t>
      </w:r>
      <w:r w:rsidR="0028349D">
        <w:rPr>
          <w:bCs/>
        </w:rPr>
        <w:t>dalla resistenza al taglio della sabbia nello stato liquefatto</w:t>
      </w:r>
      <w:r w:rsidR="00D06D41">
        <w:rPr>
          <w:bCs/>
        </w:rPr>
        <w:t>.</w:t>
      </w:r>
    </w:p>
    <w:p w14:paraId="57349820" w14:textId="77777777" w:rsidR="00103B0F" w:rsidRDefault="00103B0F" w:rsidP="00FE66EC">
      <w:pPr>
        <w:jc w:val="both"/>
      </w:pPr>
    </w:p>
    <w:p w14:paraId="17BCE436" w14:textId="77777777" w:rsidR="00530189" w:rsidRDefault="00530189" w:rsidP="00FE66EC">
      <w:pPr>
        <w:jc w:val="both"/>
      </w:pPr>
      <w:r>
        <w:t xml:space="preserve">Sono suscettibili alla liquefazione prevalentemente i depositi sabbiosi saturi (falda pochi metri al di sotto dal piano campagna) di origine fluviale, colluviale o eolica di età olocenica o manufatti </w:t>
      </w:r>
      <w:r>
        <w:lastRenderedPageBreak/>
        <w:t xml:space="preserve">(terrapieni o rinterri mal costipati, riempimenti idraulici). Nell’ambito di questi depositi sono maggiormente suscettibili alla liquefazione quelli che contengono una percentuale modesta di fine. Il cosiddetto criterio cinese è quello largamente accreditato per stabilire la suscettibilità di un terreno alla liquefazione dal punto di vista composizionale: </w:t>
      </w:r>
      <w:r w:rsidRPr="00530189">
        <w:t>a) Frazione argillosa (d&lt;0.002 mm, CF) &lt; 10 %; b) Limite Liquido (LL) &lt; 32%; c) Contenuto d’acqua (</w:t>
      </w:r>
      <w:proofErr w:type="spellStart"/>
      <w:r w:rsidRPr="00530189">
        <w:t>W</w:t>
      </w:r>
      <w:r w:rsidRPr="00530189">
        <w:rPr>
          <w:vertAlign w:val="subscript"/>
        </w:rPr>
        <w:t>n</w:t>
      </w:r>
      <w:proofErr w:type="spellEnd"/>
      <w:r w:rsidRPr="00530189">
        <w:t>) &gt; 0.9LL.</w:t>
      </w:r>
    </w:p>
    <w:p w14:paraId="448BA443" w14:textId="77777777" w:rsidR="000F4E64" w:rsidRDefault="006C1100" w:rsidP="00FE66EC">
      <w:pPr>
        <w:jc w:val="both"/>
      </w:pPr>
      <w:r>
        <w:t xml:space="preserve">Nell’ambito dei depositi di terreno liquefacibili per condizioni geologiche e di composizione, sono suscettibili alla liquefazione quelli che, soggetti a sforzi di taglio, tendono a ridurre il proprio volume (sabbie con comportamento </w:t>
      </w:r>
      <w:proofErr w:type="spellStart"/>
      <w:r>
        <w:t>contrattivo</w:t>
      </w:r>
      <w:proofErr w:type="spellEnd"/>
      <w:r>
        <w:t xml:space="preserve">). Al contrario non si avrà liquefazione nelle sabbie dilatanti (ovverosia sabbie che tendono ad aumentare il volume in conseguenza dell’applicazione di sforzi di taglio). </w:t>
      </w:r>
      <w:r w:rsidR="00CB605F">
        <w:t xml:space="preserve">La risposta </w:t>
      </w:r>
      <w:proofErr w:type="spellStart"/>
      <w:r w:rsidR="00CB605F">
        <w:t>contrattiva</w:t>
      </w:r>
      <w:proofErr w:type="spellEnd"/>
      <w:r w:rsidR="00CB605F">
        <w:t xml:space="preserve"> o dilatante di una sabbia dipende dalle condizioni di stato ovverosia la condizione individuata da tensione e densità relativa (o indice dei vuoti). Per ogni sabbia è possibile individuare nel piano e-</w:t>
      </w:r>
      <w:r w:rsidR="00CB605F" w:rsidRPr="00CB605F">
        <w:rPr>
          <w:rFonts w:ascii="Symbol" w:hAnsi="Symbol"/>
        </w:rPr>
        <w:t></w:t>
      </w:r>
      <w:r w:rsidR="00CB605F">
        <w:t>’</w:t>
      </w:r>
      <w:r w:rsidR="00CB605F" w:rsidRPr="00CB605F">
        <w:rPr>
          <w:vertAlign w:val="subscript"/>
        </w:rPr>
        <w:t>3</w:t>
      </w:r>
      <w:r w:rsidR="00CB605F">
        <w:t xml:space="preserve"> (indice dei vuoti – tensione principale efficace minore) una linea (detta linea dell’indice dei vuoti critico) che separa </w:t>
      </w:r>
      <w:r w:rsidR="00F96A0A">
        <w:t>lo stato suscettibile alla liquefazione da quello non suscettibile (Figura 1).</w:t>
      </w:r>
    </w:p>
    <w:p w14:paraId="3C298478" w14:textId="77777777" w:rsidR="00F96A0A" w:rsidRPr="00530189" w:rsidRDefault="00F96A0A" w:rsidP="00FE66EC">
      <w:pPr>
        <w:jc w:val="both"/>
      </w:pPr>
    </w:p>
    <w:p w14:paraId="1FCBB92D" w14:textId="77777777" w:rsidR="00C83FA5" w:rsidRDefault="00C83FA5" w:rsidP="00FE66EC">
      <w:pPr>
        <w:jc w:val="both"/>
      </w:pPr>
      <w:r>
        <w:t xml:space="preserve">Per condurre a liquefazione un terreno suscettibile alla liquefazione è necessaria l’occorrenza di un forte sisma. In termini di Intensità, i fenomeni di Liquefazione completa si verificano solamente per valori superiore al grado VIII della scala MCS. In termini di Magnitudo è necessario che alla </w:t>
      </w:r>
      <w:smartTag w:uri="urn:schemas-microsoft-com:office:smarttags" w:element="PersonName">
        <w:r>
          <w:t>dis</w:t>
        </w:r>
      </w:smartTag>
      <w:r>
        <w:t>tanza di 1 km dal sito si abbia un terremoto di Magnitudo superiore ad almeno 4.2. In termini di accelerazione di picco su roccia (</w:t>
      </w:r>
      <w:proofErr w:type="spellStart"/>
      <w:r>
        <w:t>a</w:t>
      </w:r>
      <w:r w:rsidRPr="00C83FA5">
        <w:rPr>
          <w:vertAlign w:val="subscript"/>
        </w:rPr>
        <w:t>gR</w:t>
      </w:r>
      <w:proofErr w:type="spellEnd"/>
      <w:r>
        <w:t xml:space="preserve">), i fenomeni di liquefazione completa si hanno solitamente per terremoti con </w:t>
      </w:r>
      <w:proofErr w:type="spellStart"/>
      <w:r>
        <w:t>a</w:t>
      </w:r>
      <w:r w:rsidRPr="00C83FA5">
        <w:rPr>
          <w:vertAlign w:val="subscript"/>
        </w:rPr>
        <w:t>gR</w:t>
      </w:r>
      <w:proofErr w:type="spellEnd"/>
      <w:r>
        <w:t xml:space="preserve"> &gt; </w:t>
      </w:r>
      <w:r w:rsidR="00185269">
        <w:t xml:space="preserve">0.15 - </w:t>
      </w:r>
      <w:r>
        <w:t>0.2g.</w:t>
      </w:r>
    </w:p>
    <w:p w14:paraId="658BB50F" w14:textId="77777777" w:rsidR="00371028" w:rsidRPr="00371028" w:rsidRDefault="00C83FA5" w:rsidP="00FE66EC">
      <w:pPr>
        <w:jc w:val="both"/>
        <w:rPr>
          <w:bCs/>
        </w:rPr>
      </w:pPr>
      <w:r>
        <w:rPr>
          <w:bCs/>
        </w:rPr>
        <w:t xml:space="preserve">L’occorrenza della liquefazione ha effetti in superficie solamente in particolari condizioni. Nel caso di terreno pianeggiante, </w:t>
      </w:r>
      <w:r w:rsidRPr="00371028">
        <w:rPr>
          <w:bCs/>
        </w:rPr>
        <w:t>i danni in superficie son</w:t>
      </w:r>
      <w:r>
        <w:rPr>
          <w:bCs/>
        </w:rPr>
        <w:t xml:space="preserve">o trascurabili se lo </w:t>
      </w:r>
      <w:r w:rsidRPr="00371028">
        <w:rPr>
          <w:bCs/>
        </w:rPr>
        <w:t xml:space="preserve">spessore dello strato </w:t>
      </w:r>
      <w:r>
        <w:rPr>
          <w:bCs/>
        </w:rPr>
        <w:t xml:space="preserve">più superficiale </w:t>
      </w:r>
      <w:r w:rsidRPr="00371028">
        <w:rPr>
          <w:bCs/>
        </w:rPr>
        <w:t>che non liquefa</w:t>
      </w:r>
      <w:r>
        <w:rPr>
          <w:bCs/>
        </w:rPr>
        <w:t xml:space="preserve"> (H1) è maggiore dello spessore dello strato sottostante che liquefa (H2) ovverosia se H1&gt;H2.</w:t>
      </w:r>
    </w:p>
    <w:p w14:paraId="3BADE5C1" w14:textId="77777777" w:rsidR="00D06D41" w:rsidRDefault="00D06D41" w:rsidP="00FE66EC">
      <w:pPr>
        <w:jc w:val="both"/>
      </w:pPr>
    </w:p>
    <w:p w14:paraId="1953E6C5" w14:textId="77777777" w:rsidR="000F4E64" w:rsidRDefault="000F4E64" w:rsidP="00FE66EC">
      <w:pPr>
        <w:jc w:val="both"/>
      </w:pPr>
      <w:r>
        <w:t>Un aspetto rilevante e poco studiato del fenomeno della liquefazione è la modifica del moto sismico. In generale il verificarsi della liquefazione comporta un decremento delle ampiezz</w:t>
      </w:r>
      <w:r w:rsidR="00185269">
        <w:t>e di vibrazioni ed un taglio</w:t>
      </w:r>
      <w:r>
        <w:t xml:space="preserve"> delle fre</w:t>
      </w:r>
      <w:r w:rsidR="00185269">
        <w:t>quenze più elevate. Registrazioni accelerometriche in siti liquefatti mostrano (in seguito del fenomeno) ampiezze dell’ordine di 0.05g e periodo predominante di alcuni secondi. I due aspetti insieme (accelerazioni modeste ma con periodi lunghi) comportano spostamenti comunque rilevanti e quindi un potenziale di danno non necessariamente ridotto.</w:t>
      </w:r>
    </w:p>
    <w:p w14:paraId="42C8DC3F" w14:textId="77777777" w:rsidR="00185269" w:rsidRDefault="00185269" w:rsidP="00FE66EC">
      <w:pPr>
        <w:jc w:val="both"/>
      </w:pPr>
    </w:p>
    <w:p w14:paraId="2EB63E12" w14:textId="77777777" w:rsidR="00103B0F" w:rsidRPr="00CF603D" w:rsidRDefault="003B1C24" w:rsidP="00FE66EC">
      <w:pPr>
        <w:jc w:val="both"/>
        <w:rPr>
          <w:b/>
        </w:rPr>
      </w:pPr>
      <w:r w:rsidRPr="00CF603D">
        <w:rPr>
          <w:b/>
        </w:rPr>
        <w:t>Metodi di analisi e indagini</w:t>
      </w:r>
    </w:p>
    <w:p w14:paraId="20780292" w14:textId="77777777" w:rsidR="00371028" w:rsidRDefault="00FE66EC" w:rsidP="00FE66EC">
      <w:pPr>
        <w:pStyle w:val="Text"/>
        <w:ind w:firstLine="0"/>
        <w:rPr>
          <w:sz w:val="24"/>
          <w:szCs w:val="24"/>
          <w:lang w:val="it-IT"/>
        </w:rPr>
      </w:pPr>
      <w:r w:rsidRPr="00D27D8C">
        <w:rPr>
          <w:sz w:val="24"/>
          <w:szCs w:val="24"/>
          <w:lang w:val="it-IT"/>
        </w:rPr>
        <w:t>È</w:t>
      </w:r>
      <w:r w:rsidR="00D27D8C" w:rsidRPr="00D27D8C">
        <w:rPr>
          <w:sz w:val="24"/>
          <w:szCs w:val="24"/>
          <w:lang w:val="it-IT"/>
        </w:rPr>
        <w:t xml:space="preserve"> necessario prevedere, come minimo, l’esecuzione di prove penetrometriche </w:t>
      </w:r>
      <w:r w:rsidR="00B0127C">
        <w:rPr>
          <w:sz w:val="24"/>
          <w:szCs w:val="24"/>
          <w:lang w:val="it-IT"/>
        </w:rPr>
        <w:t xml:space="preserve">in sito </w:t>
      </w:r>
      <w:r w:rsidR="00D27D8C" w:rsidRPr="00D27D8C">
        <w:rPr>
          <w:sz w:val="24"/>
          <w:szCs w:val="24"/>
          <w:lang w:val="it-IT"/>
        </w:rPr>
        <w:t xml:space="preserve">(SPT o CPT) con classificazione in laboratorio dei terreni interessati (granulometria, limiti di </w:t>
      </w:r>
      <w:proofErr w:type="spellStart"/>
      <w:r w:rsidR="00D27D8C" w:rsidRPr="00D27D8C">
        <w:rPr>
          <w:sz w:val="24"/>
          <w:szCs w:val="24"/>
          <w:lang w:val="it-IT"/>
        </w:rPr>
        <w:t>Atterberg</w:t>
      </w:r>
      <w:proofErr w:type="spellEnd"/>
      <w:r w:rsidR="00D27D8C" w:rsidRPr="00D27D8C">
        <w:rPr>
          <w:sz w:val="24"/>
          <w:szCs w:val="24"/>
          <w:lang w:val="it-IT"/>
        </w:rPr>
        <w:t>).</w:t>
      </w:r>
    </w:p>
    <w:p w14:paraId="37076033" w14:textId="77777777" w:rsidR="00B0127C" w:rsidRDefault="00B0127C" w:rsidP="00FE66EC">
      <w:pPr>
        <w:pStyle w:val="Text"/>
        <w:ind w:firstLine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Esistono diversi metodi per valutare la potenziale occorrenza di fenomeni di liquefazione. Quello illustrato di seguito si basa sui risultati della prova SPT e si applica al caso di terreno pianeggiante. Il metodo prevede la valutazione degli sforzi di taglio indotti dal sisma e della resistenza a sforzo ciclico del deposito sabbioso in oggetto.</w:t>
      </w:r>
    </w:p>
    <w:p w14:paraId="3102511B" w14:textId="77777777" w:rsidR="00B0127C" w:rsidRDefault="00B0127C" w:rsidP="00FE66EC">
      <w:pPr>
        <w:pStyle w:val="Text"/>
        <w:ind w:firstLine="0"/>
        <w:rPr>
          <w:sz w:val="24"/>
          <w:szCs w:val="24"/>
          <w:lang w:val="it-IT"/>
        </w:rPr>
      </w:pPr>
    </w:p>
    <w:p w14:paraId="40EE44B6" w14:textId="77777777" w:rsidR="00B0127C" w:rsidRPr="00D27D8C" w:rsidRDefault="00302DD4" w:rsidP="00FE66EC">
      <w:pPr>
        <w:pStyle w:val="Text"/>
        <w:ind w:firstLine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La sequenza di sforzi di taglio indotti dal sisma viene schematizzata come una storia regolare di sollecitazioni pari al 65% del valore massimo.</w:t>
      </w:r>
    </w:p>
    <w:p w14:paraId="0FCED409" w14:textId="77777777" w:rsidR="00B0127C" w:rsidRPr="00302DD4" w:rsidRDefault="00302DD4" w:rsidP="00FE66EC">
      <w:pPr>
        <w:pStyle w:val="Text"/>
        <w:ind w:firstLine="0"/>
        <w:rPr>
          <w:sz w:val="24"/>
          <w:szCs w:val="24"/>
          <w:lang w:val="it-IT"/>
        </w:rPr>
      </w:pPr>
      <w:r w:rsidRPr="00B0127C">
        <w:rPr>
          <w:position w:val="-14"/>
          <w:sz w:val="24"/>
          <w:szCs w:val="24"/>
          <w:lang w:val="en-GB"/>
        </w:rPr>
        <w:object w:dxaOrig="1939" w:dyaOrig="380" w14:anchorId="14CB16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19.5pt" o:ole="">
            <v:imagedata r:id="rId5" o:title=""/>
          </v:shape>
          <o:OLEObject Type="Embed" ProgID="Equation.3" ShapeID="_x0000_i1025" DrawAspect="Content" ObjectID="_1742718933" r:id="rId6"/>
        </w:object>
      </w:r>
      <w:r w:rsidRPr="00302DD4">
        <w:rPr>
          <w:sz w:val="24"/>
          <w:szCs w:val="24"/>
          <w:lang w:val="it-IT"/>
        </w:rPr>
        <w:t xml:space="preserve"> </w:t>
      </w:r>
      <w:r w:rsidRPr="00302DD4">
        <w:rPr>
          <w:sz w:val="24"/>
          <w:szCs w:val="24"/>
          <w:lang w:val="it-IT"/>
        </w:rPr>
        <w:tab/>
      </w:r>
      <w:r w:rsidRPr="00302DD4"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 w:rsidRPr="00302DD4">
        <w:rPr>
          <w:sz w:val="24"/>
          <w:szCs w:val="24"/>
          <w:lang w:val="it-IT"/>
        </w:rPr>
        <w:t>(1)</w:t>
      </w:r>
    </w:p>
    <w:p w14:paraId="0CA90F8D" w14:textId="77777777" w:rsidR="00302DD4" w:rsidRDefault="00B0127C" w:rsidP="00FE66EC">
      <w:pPr>
        <w:pStyle w:val="Text"/>
        <w:ind w:firstLine="0"/>
        <w:rPr>
          <w:sz w:val="24"/>
          <w:szCs w:val="24"/>
          <w:lang w:val="it-IT"/>
        </w:rPr>
      </w:pPr>
      <w:r w:rsidRPr="00B0127C">
        <w:rPr>
          <w:sz w:val="24"/>
          <w:szCs w:val="24"/>
          <w:lang w:val="it-IT"/>
        </w:rPr>
        <w:t xml:space="preserve">dove: </w:t>
      </w:r>
      <w:r w:rsidR="00371028" w:rsidRPr="00B0127C">
        <w:rPr>
          <w:sz w:val="24"/>
          <w:szCs w:val="24"/>
          <w:lang w:val="it-IT"/>
        </w:rPr>
        <w:t>r</w:t>
      </w:r>
      <w:r w:rsidR="00371028" w:rsidRPr="00B0127C">
        <w:rPr>
          <w:sz w:val="24"/>
          <w:szCs w:val="24"/>
          <w:vertAlign w:val="subscript"/>
          <w:lang w:val="it-IT"/>
        </w:rPr>
        <w:t>d</w:t>
      </w:r>
      <w:r w:rsidR="00371028" w:rsidRPr="00B0127C">
        <w:rPr>
          <w:sz w:val="24"/>
          <w:szCs w:val="24"/>
          <w:lang w:val="it-IT"/>
        </w:rPr>
        <w:t xml:space="preserve"> </w:t>
      </w:r>
      <w:r w:rsidRPr="00B0127C">
        <w:rPr>
          <w:sz w:val="24"/>
          <w:szCs w:val="24"/>
          <w:lang w:val="it-IT"/>
        </w:rPr>
        <w:t xml:space="preserve">(fattore di riduzione dello sforzo) calcolabile mediante le seguenti espressioni </w:t>
      </w:r>
      <w:r w:rsidR="00371028" w:rsidRPr="00B0127C">
        <w:rPr>
          <w:bCs/>
          <w:sz w:val="24"/>
          <w:szCs w:val="24"/>
          <w:lang w:val="it-IT"/>
        </w:rPr>
        <w:t>r</w:t>
      </w:r>
      <w:r w:rsidR="00371028" w:rsidRPr="00B0127C">
        <w:rPr>
          <w:bCs/>
          <w:sz w:val="24"/>
          <w:szCs w:val="24"/>
          <w:vertAlign w:val="subscript"/>
          <w:lang w:val="it-IT"/>
        </w:rPr>
        <w:t>d</w:t>
      </w:r>
      <w:r w:rsidRPr="00B0127C">
        <w:rPr>
          <w:bCs/>
          <w:sz w:val="24"/>
          <w:szCs w:val="24"/>
          <w:lang w:val="it-IT"/>
        </w:rPr>
        <w:t>= 1.0 - 0.00765z (se</w:t>
      </w:r>
      <w:r w:rsidR="00371028" w:rsidRPr="00B0127C">
        <w:rPr>
          <w:bCs/>
          <w:sz w:val="24"/>
          <w:szCs w:val="24"/>
          <w:lang w:val="it-IT"/>
        </w:rPr>
        <w:t xml:space="preserve"> z</w:t>
      </w:r>
      <w:r w:rsidR="00371028" w:rsidRPr="00B0127C">
        <w:rPr>
          <w:bCs/>
          <w:sz w:val="24"/>
          <w:szCs w:val="24"/>
          <w:lang w:val="it-IT"/>
        </w:rPr>
        <w:sym w:font="Symbol" w:char="00A3"/>
      </w:r>
      <w:r w:rsidR="00371028" w:rsidRPr="00B0127C">
        <w:rPr>
          <w:bCs/>
          <w:sz w:val="24"/>
          <w:szCs w:val="24"/>
          <w:lang w:val="it-IT"/>
        </w:rPr>
        <w:t>9.15 m); r</w:t>
      </w:r>
      <w:r w:rsidR="00371028" w:rsidRPr="00B0127C">
        <w:rPr>
          <w:bCs/>
          <w:sz w:val="24"/>
          <w:szCs w:val="24"/>
          <w:vertAlign w:val="subscript"/>
          <w:lang w:val="it-IT"/>
        </w:rPr>
        <w:t>d</w:t>
      </w:r>
      <w:r w:rsidR="00371028" w:rsidRPr="00B0127C">
        <w:rPr>
          <w:bCs/>
          <w:sz w:val="24"/>
          <w:szCs w:val="24"/>
          <w:lang w:val="it-IT"/>
        </w:rPr>
        <w:t>=1.17</w:t>
      </w:r>
      <w:r w:rsidRPr="00B0127C">
        <w:rPr>
          <w:bCs/>
          <w:sz w:val="24"/>
          <w:szCs w:val="24"/>
          <w:lang w:val="it-IT"/>
        </w:rPr>
        <w:t>4 - 0.0267z (se</w:t>
      </w:r>
      <w:r w:rsidR="00371028" w:rsidRPr="00B0127C">
        <w:rPr>
          <w:bCs/>
          <w:sz w:val="24"/>
          <w:szCs w:val="24"/>
          <w:lang w:val="it-IT"/>
        </w:rPr>
        <w:t xml:space="preserve"> 9.15</w:t>
      </w:r>
      <w:r w:rsidR="00371028" w:rsidRPr="00B0127C">
        <w:rPr>
          <w:bCs/>
          <w:sz w:val="24"/>
          <w:szCs w:val="24"/>
          <w:lang w:val="it-IT"/>
        </w:rPr>
        <w:sym w:font="Symbol" w:char="00A3"/>
      </w:r>
      <w:r w:rsidR="00371028" w:rsidRPr="00B0127C">
        <w:rPr>
          <w:bCs/>
          <w:sz w:val="24"/>
          <w:szCs w:val="24"/>
          <w:lang w:val="it-IT"/>
        </w:rPr>
        <w:t>z</w:t>
      </w:r>
      <w:r w:rsidR="00371028" w:rsidRPr="00B0127C">
        <w:rPr>
          <w:bCs/>
          <w:sz w:val="24"/>
          <w:szCs w:val="24"/>
          <w:lang w:val="it-IT"/>
        </w:rPr>
        <w:sym w:font="Symbol" w:char="00A3"/>
      </w:r>
      <w:r w:rsidR="00371028" w:rsidRPr="00B0127C">
        <w:rPr>
          <w:bCs/>
          <w:sz w:val="24"/>
          <w:szCs w:val="24"/>
          <w:lang w:val="it-IT"/>
        </w:rPr>
        <w:t>23m);</w:t>
      </w:r>
      <w:r w:rsidR="00302DD4">
        <w:rPr>
          <w:bCs/>
          <w:sz w:val="24"/>
          <w:szCs w:val="24"/>
          <w:lang w:val="it-IT"/>
        </w:rPr>
        <w:t xml:space="preserve"> </w:t>
      </w:r>
      <w:proofErr w:type="spellStart"/>
      <w:r w:rsidR="00302DD4" w:rsidRPr="00302DD4">
        <w:rPr>
          <w:sz w:val="24"/>
          <w:szCs w:val="24"/>
          <w:lang w:val="it-IT"/>
        </w:rPr>
        <w:t>a</w:t>
      </w:r>
      <w:r w:rsidR="00302DD4" w:rsidRPr="00302DD4">
        <w:rPr>
          <w:sz w:val="24"/>
          <w:szCs w:val="24"/>
          <w:vertAlign w:val="subscript"/>
          <w:lang w:val="it-IT"/>
        </w:rPr>
        <w:t>gR</w:t>
      </w:r>
      <w:proofErr w:type="spellEnd"/>
      <w:r w:rsidR="00302DD4" w:rsidRPr="00302DD4">
        <w:rPr>
          <w:sz w:val="24"/>
          <w:szCs w:val="24"/>
          <w:lang w:val="it-IT"/>
        </w:rPr>
        <w:t xml:space="preserve"> </w:t>
      </w:r>
      <w:r w:rsidR="00302DD4">
        <w:rPr>
          <w:sz w:val="24"/>
          <w:szCs w:val="24"/>
          <w:lang w:val="it-IT"/>
        </w:rPr>
        <w:t xml:space="preserve">= accelerazione su roccia (da ottenere da studi di pericolosità sismica o dalla zonazione sismica); </w:t>
      </w:r>
      <w:r w:rsidR="00302DD4" w:rsidRPr="00302DD4">
        <w:rPr>
          <w:rFonts w:ascii="Symbol" w:hAnsi="Symbol"/>
          <w:sz w:val="24"/>
          <w:szCs w:val="24"/>
          <w:lang w:val="it-IT"/>
        </w:rPr>
        <w:t></w:t>
      </w:r>
      <w:r w:rsidR="00302DD4" w:rsidRPr="00302DD4">
        <w:rPr>
          <w:sz w:val="24"/>
          <w:szCs w:val="24"/>
          <w:vertAlign w:val="subscript"/>
          <w:lang w:val="it-IT"/>
        </w:rPr>
        <w:t>I</w:t>
      </w:r>
      <w:r w:rsidR="00302DD4">
        <w:rPr>
          <w:sz w:val="24"/>
          <w:szCs w:val="24"/>
          <w:lang w:val="it-IT"/>
        </w:rPr>
        <w:t xml:space="preserve"> = fattore di importanza; </w:t>
      </w:r>
      <w:r w:rsidR="00302DD4" w:rsidRPr="00302DD4">
        <w:rPr>
          <w:rFonts w:ascii="Symbol" w:hAnsi="Symbol"/>
          <w:sz w:val="24"/>
          <w:szCs w:val="24"/>
          <w:lang w:val="it-IT"/>
        </w:rPr>
        <w:t></w:t>
      </w:r>
      <w:r w:rsidR="00302DD4" w:rsidRPr="00302DD4">
        <w:rPr>
          <w:sz w:val="24"/>
          <w:szCs w:val="24"/>
          <w:vertAlign w:val="subscript"/>
          <w:lang w:val="it-IT"/>
        </w:rPr>
        <w:t>vo</w:t>
      </w:r>
      <w:r w:rsidR="00302DD4">
        <w:rPr>
          <w:sz w:val="24"/>
          <w:szCs w:val="24"/>
          <w:lang w:val="it-IT"/>
        </w:rPr>
        <w:t xml:space="preserve"> = tensione verticale geostatica totale.</w:t>
      </w:r>
    </w:p>
    <w:p w14:paraId="4CC64321" w14:textId="77777777" w:rsidR="00371028" w:rsidRDefault="00302DD4" w:rsidP="00FE66EC">
      <w:pPr>
        <w:pStyle w:val="Text"/>
        <w:ind w:firstLine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Lo sforzo di taglio espresso dalla (1) viene normalizzato dividendolo per la tensione verticale geostatica efficace (</w:t>
      </w:r>
      <w:r w:rsidR="00724E7A" w:rsidRPr="00302DD4">
        <w:rPr>
          <w:rFonts w:ascii="Symbol" w:hAnsi="Symbol"/>
          <w:sz w:val="24"/>
          <w:szCs w:val="24"/>
          <w:lang w:val="it-IT"/>
        </w:rPr>
        <w:t></w:t>
      </w:r>
      <w:r w:rsidR="00724E7A" w:rsidRPr="00724E7A">
        <w:rPr>
          <w:sz w:val="24"/>
          <w:szCs w:val="24"/>
          <w:lang w:val="it-IT"/>
        </w:rPr>
        <w:t>'</w:t>
      </w:r>
      <w:r w:rsidR="00724E7A" w:rsidRPr="00302DD4">
        <w:rPr>
          <w:sz w:val="24"/>
          <w:szCs w:val="24"/>
          <w:vertAlign w:val="subscript"/>
          <w:lang w:val="it-IT"/>
        </w:rPr>
        <w:t>vo</w:t>
      </w:r>
      <w:r>
        <w:rPr>
          <w:sz w:val="24"/>
          <w:szCs w:val="24"/>
          <w:lang w:val="it-IT"/>
        </w:rPr>
        <w:t>)</w:t>
      </w:r>
      <w:r w:rsidR="00724E7A">
        <w:rPr>
          <w:sz w:val="24"/>
          <w:szCs w:val="24"/>
          <w:lang w:val="it-IT"/>
        </w:rPr>
        <w:t xml:space="preserve">, ed assume la denominazione di </w:t>
      </w:r>
      <w:proofErr w:type="spellStart"/>
      <w:r w:rsidR="00724E7A">
        <w:rPr>
          <w:sz w:val="24"/>
          <w:szCs w:val="24"/>
          <w:lang w:val="it-IT"/>
        </w:rPr>
        <w:t>Cyclic</w:t>
      </w:r>
      <w:proofErr w:type="spellEnd"/>
      <w:r w:rsidR="00724E7A">
        <w:rPr>
          <w:sz w:val="24"/>
          <w:szCs w:val="24"/>
          <w:lang w:val="it-IT"/>
        </w:rPr>
        <w:t xml:space="preserve"> Stress ratio (CSR).</w:t>
      </w:r>
    </w:p>
    <w:p w14:paraId="6D0A1796" w14:textId="77777777" w:rsidR="00724E7A" w:rsidRDefault="00724E7A" w:rsidP="00FE66EC">
      <w:pPr>
        <w:pStyle w:val="Text"/>
        <w:ind w:firstLine="0"/>
        <w:rPr>
          <w:sz w:val="24"/>
          <w:szCs w:val="24"/>
          <w:lang w:val="it-IT"/>
        </w:rPr>
      </w:pPr>
    </w:p>
    <w:p w14:paraId="3737C416" w14:textId="77777777" w:rsidR="00724E7A" w:rsidRPr="00302DD4" w:rsidRDefault="00724E7A" w:rsidP="00FE66EC">
      <w:pPr>
        <w:pStyle w:val="Text"/>
        <w:ind w:firstLine="0"/>
        <w:rPr>
          <w:bCs/>
          <w:sz w:val="24"/>
          <w:szCs w:val="24"/>
          <w:lang w:val="it-IT"/>
        </w:rPr>
      </w:pPr>
      <w:r>
        <w:rPr>
          <w:sz w:val="24"/>
          <w:szCs w:val="24"/>
          <w:lang w:val="it-IT"/>
        </w:rPr>
        <w:lastRenderedPageBreak/>
        <w:t xml:space="preserve">La resistenza alla liquefazione è calcolata dai valori misurati di resistenza penetrometrica </w:t>
      </w:r>
      <w:proofErr w:type="spellStart"/>
      <w:r>
        <w:rPr>
          <w:sz w:val="24"/>
          <w:szCs w:val="24"/>
          <w:lang w:val="it-IT"/>
        </w:rPr>
        <w:t>N</w:t>
      </w:r>
      <w:r w:rsidRPr="00724E7A">
        <w:rPr>
          <w:sz w:val="24"/>
          <w:szCs w:val="24"/>
          <w:vertAlign w:val="subscript"/>
          <w:lang w:val="it-IT"/>
        </w:rPr>
        <w:t>spt</w:t>
      </w:r>
      <w:proofErr w:type="spellEnd"/>
      <w:r>
        <w:rPr>
          <w:sz w:val="24"/>
          <w:szCs w:val="24"/>
          <w:lang w:val="it-IT"/>
        </w:rPr>
        <w:t>. Si procede inizialmente a normalizzare i valori misurati, utilizzando allo scopo la seguente espressione:</w:t>
      </w:r>
    </w:p>
    <w:p w14:paraId="716A5DBA" w14:textId="77777777" w:rsidR="00724E7A" w:rsidRPr="00724E7A" w:rsidRDefault="00724E7A" w:rsidP="00FE66EC">
      <w:pPr>
        <w:pStyle w:val="Text"/>
        <w:ind w:firstLine="0"/>
        <w:rPr>
          <w:sz w:val="24"/>
          <w:szCs w:val="24"/>
          <w:lang w:val="it-IT"/>
        </w:rPr>
      </w:pPr>
    </w:p>
    <w:p w14:paraId="189A8B54" w14:textId="77777777" w:rsidR="00724E7A" w:rsidRPr="009F21ED" w:rsidRDefault="00724E7A" w:rsidP="00FE66EC">
      <w:pPr>
        <w:pStyle w:val="Text"/>
        <w:ind w:firstLine="0"/>
        <w:rPr>
          <w:sz w:val="24"/>
          <w:szCs w:val="24"/>
          <w:lang w:val="it-IT"/>
        </w:rPr>
      </w:pPr>
      <w:r w:rsidRPr="00724E7A">
        <w:rPr>
          <w:position w:val="-12"/>
          <w:sz w:val="24"/>
          <w:szCs w:val="24"/>
        </w:rPr>
        <w:object w:dxaOrig="3600" w:dyaOrig="360" w14:anchorId="4E3DA9C6">
          <v:shape id="_x0000_i1026" type="#_x0000_t75" style="width:180pt;height:18pt" o:ole="">
            <v:imagedata r:id="rId7" o:title=""/>
          </v:shape>
          <o:OLEObject Type="Embed" ProgID="Equation.3" ShapeID="_x0000_i1026" DrawAspect="Content" ObjectID="_1742718934" r:id="rId8"/>
        </w:object>
      </w:r>
      <w:r w:rsidRPr="009F21ED">
        <w:rPr>
          <w:sz w:val="24"/>
          <w:szCs w:val="24"/>
          <w:lang w:val="it-IT"/>
        </w:rPr>
        <w:t xml:space="preserve"> </w:t>
      </w:r>
      <w:r w:rsidRPr="009F21ED">
        <w:rPr>
          <w:sz w:val="24"/>
          <w:szCs w:val="24"/>
          <w:lang w:val="it-IT"/>
        </w:rPr>
        <w:tab/>
      </w:r>
      <w:r w:rsidRPr="009F21ED">
        <w:rPr>
          <w:sz w:val="24"/>
          <w:szCs w:val="24"/>
          <w:lang w:val="it-IT"/>
        </w:rPr>
        <w:tab/>
        <w:t>(2)</w:t>
      </w:r>
    </w:p>
    <w:p w14:paraId="7BDFD893" w14:textId="77777777" w:rsidR="00724E7A" w:rsidRPr="009F21ED" w:rsidRDefault="00724E7A" w:rsidP="00FE66EC">
      <w:pPr>
        <w:pStyle w:val="Text"/>
        <w:ind w:firstLine="0"/>
        <w:rPr>
          <w:sz w:val="24"/>
          <w:szCs w:val="24"/>
          <w:lang w:val="it-IT"/>
        </w:rPr>
      </w:pPr>
    </w:p>
    <w:p w14:paraId="55846F0B" w14:textId="77777777" w:rsidR="00D24E41" w:rsidRPr="00D24E41" w:rsidRDefault="00724E7A" w:rsidP="00FE66EC">
      <w:pPr>
        <w:pStyle w:val="Text"/>
        <w:ind w:firstLine="0"/>
        <w:rPr>
          <w:bCs/>
          <w:sz w:val="24"/>
          <w:szCs w:val="24"/>
          <w:lang w:val="en-GB"/>
        </w:rPr>
      </w:pPr>
      <w:r w:rsidRPr="00724E7A">
        <w:rPr>
          <w:sz w:val="24"/>
          <w:szCs w:val="24"/>
          <w:lang w:val="it-IT"/>
        </w:rPr>
        <w:t xml:space="preserve">Dove: </w:t>
      </w:r>
      <w:r w:rsidR="00B0127C" w:rsidRPr="00724E7A">
        <w:rPr>
          <w:sz w:val="24"/>
          <w:szCs w:val="24"/>
          <w:lang w:val="it-IT"/>
        </w:rPr>
        <w:t>N</w:t>
      </w:r>
      <w:r w:rsidR="00B0127C" w:rsidRPr="00724E7A">
        <w:rPr>
          <w:sz w:val="24"/>
          <w:szCs w:val="24"/>
          <w:vertAlign w:val="subscript"/>
          <w:lang w:val="it-IT"/>
        </w:rPr>
        <w:t>SPT</w:t>
      </w:r>
      <w:r w:rsidR="00B0127C" w:rsidRPr="00724E7A">
        <w:rPr>
          <w:sz w:val="24"/>
          <w:szCs w:val="24"/>
          <w:lang w:val="it-IT"/>
        </w:rPr>
        <w:t xml:space="preserve"> </w:t>
      </w:r>
      <w:r w:rsidRPr="00724E7A">
        <w:rPr>
          <w:sz w:val="24"/>
          <w:szCs w:val="24"/>
          <w:lang w:val="it-IT"/>
        </w:rPr>
        <w:t>è il valore misurato;</w:t>
      </w:r>
      <w:r w:rsidR="00B0127C" w:rsidRPr="00724E7A">
        <w:rPr>
          <w:sz w:val="24"/>
          <w:szCs w:val="24"/>
          <w:lang w:val="it-IT"/>
        </w:rPr>
        <w:t xml:space="preserve"> N</w:t>
      </w:r>
      <w:r w:rsidR="00B0127C" w:rsidRPr="00724E7A">
        <w:rPr>
          <w:sz w:val="24"/>
          <w:szCs w:val="24"/>
          <w:vertAlign w:val="subscript"/>
          <w:lang w:val="it-IT"/>
        </w:rPr>
        <w:t>1</w:t>
      </w:r>
      <w:r w:rsidR="00B0127C" w:rsidRPr="00724E7A">
        <w:rPr>
          <w:sz w:val="24"/>
          <w:szCs w:val="24"/>
          <w:lang w:val="it-IT"/>
        </w:rPr>
        <w:t xml:space="preserve">(60) </w:t>
      </w:r>
      <w:r w:rsidRPr="00724E7A">
        <w:rPr>
          <w:sz w:val="24"/>
          <w:szCs w:val="24"/>
          <w:lang w:val="it-IT"/>
        </w:rPr>
        <w:t>è il valore calcolato</w:t>
      </w:r>
      <w:r w:rsidR="00B0127C" w:rsidRPr="00724E7A">
        <w:rPr>
          <w:sz w:val="24"/>
          <w:szCs w:val="24"/>
          <w:lang w:val="it-IT"/>
        </w:rPr>
        <w:t xml:space="preserve"> </w:t>
      </w:r>
      <w:r w:rsidRPr="00724E7A">
        <w:rPr>
          <w:position w:val="-12"/>
          <w:sz w:val="24"/>
          <w:szCs w:val="24"/>
        </w:rPr>
        <w:object w:dxaOrig="1980" w:dyaOrig="360" w14:anchorId="2EA6DDCF">
          <v:shape id="_x0000_i1027" type="#_x0000_t75" style="width:99pt;height:18pt" o:ole="">
            <v:imagedata r:id="rId9" o:title=""/>
          </v:shape>
          <o:OLEObject Type="Embed" ProgID="Equation.3" ShapeID="_x0000_i1027" DrawAspect="Content" ObjectID="_1742718935" r:id="rId10"/>
        </w:object>
      </w:r>
      <w:r w:rsidR="00B0127C" w:rsidRPr="00724E7A">
        <w:rPr>
          <w:sz w:val="24"/>
          <w:szCs w:val="24"/>
          <w:lang w:val="it-IT"/>
        </w:rPr>
        <w:t xml:space="preserve"> </w:t>
      </w:r>
      <w:r w:rsidRPr="00724E7A">
        <w:rPr>
          <w:sz w:val="24"/>
          <w:szCs w:val="24"/>
          <w:lang w:val="it-IT"/>
        </w:rPr>
        <w:t xml:space="preserve">sono fattori correttivi </w:t>
      </w:r>
      <w:r>
        <w:rPr>
          <w:sz w:val="24"/>
          <w:szCs w:val="24"/>
          <w:lang w:val="it-IT"/>
        </w:rPr>
        <w:t xml:space="preserve">che tengono conto rispettivamente delle tensioni geostatiche, del rendimento energetico dell’apparecchiatura di prova, del tipo di campionatore impiegato, della lunghezza della batteria di aste di battitura e del diametro del foro di sondaggio all’interno del quale si è eseguita la misura SPT. Possibili espressioni dei fattori correttivi sono riportate di seguito. </w:t>
      </w:r>
      <w:r w:rsidR="00371028" w:rsidRPr="00724E7A">
        <w:rPr>
          <w:bCs/>
          <w:sz w:val="24"/>
          <w:szCs w:val="24"/>
          <w:lang w:val="it-IT"/>
        </w:rPr>
        <w:t>C</w:t>
      </w:r>
      <w:r w:rsidR="00371028" w:rsidRPr="00724E7A">
        <w:rPr>
          <w:bCs/>
          <w:sz w:val="24"/>
          <w:szCs w:val="24"/>
          <w:vertAlign w:val="subscript"/>
          <w:lang w:val="it-IT"/>
        </w:rPr>
        <w:t>N</w:t>
      </w:r>
      <w:r w:rsidR="00371028" w:rsidRPr="00724E7A">
        <w:rPr>
          <w:bCs/>
          <w:sz w:val="24"/>
          <w:szCs w:val="24"/>
          <w:lang w:val="it-IT"/>
        </w:rPr>
        <w:t xml:space="preserve"> = (100/</w:t>
      </w:r>
      <w:r w:rsidR="00371028">
        <w:rPr>
          <w:rFonts w:ascii="Symbol" w:hAnsi="Symbol" w:cs="Arial"/>
          <w:bCs/>
          <w:sz w:val="22"/>
          <w:szCs w:val="22"/>
        </w:rPr>
        <w:t></w:t>
      </w:r>
      <w:r w:rsidR="00371028" w:rsidRPr="00724E7A">
        <w:rPr>
          <w:bCs/>
          <w:sz w:val="24"/>
          <w:szCs w:val="24"/>
          <w:lang w:val="it-IT"/>
        </w:rPr>
        <w:t>’</w:t>
      </w:r>
      <w:r w:rsidR="00371028" w:rsidRPr="00724E7A">
        <w:rPr>
          <w:bCs/>
          <w:sz w:val="24"/>
          <w:szCs w:val="24"/>
          <w:vertAlign w:val="subscript"/>
          <w:lang w:val="it-IT"/>
        </w:rPr>
        <w:t>vo</w:t>
      </w:r>
      <w:r w:rsidR="00371028" w:rsidRPr="00724E7A">
        <w:rPr>
          <w:bCs/>
          <w:sz w:val="24"/>
          <w:szCs w:val="24"/>
          <w:lang w:val="it-IT"/>
        </w:rPr>
        <w:t>)</w:t>
      </w:r>
      <w:r w:rsidR="00371028" w:rsidRPr="00724E7A">
        <w:rPr>
          <w:bCs/>
          <w:sz w:val="24"/>
          <w:szCs w:val="24"/>
          <w:vertAlign w:val="superscript"/>
          <w:lang w:val="it-IT"/>
        </w:rPr>
        <w:t>0.5</w:t>
      </w:r>
      <w:r w:rsidR="00371028" w:rsidRPr="00724E7A">
        <w:rPr>
          <w:bCs/>
          <w:sz w:val="24"/>
          <w:szCs w:val="24"/>
          <w:lang w:val="it-IT"/>
        </w:rPr>
        <w:t>; C</w:t>
      </w:r>
      <w:r w:rsidR="00371028" w:rsidRPr="00724E7A">
        <w:rPr>
          <w:bCs/>
          <w:sz w:val="24"/>
          <w:szCs w:val="24"/>
          <w:vertAlign w:val="subscript"/>
          <w:lang w:val="it-IT"/>
        </w:rPr>
        <w:t>E</w:t>
      </w:r>
      <w:r w:rsidR="00371028" w:rsidRPr="00724E7A">
        <w:rPr>
          <w:bCs/>
          <w:sz w:val="24"/>
          <w:szCs w:val="24"/>
          <w:lang w:val="it-IT"/>
        </w:rPr>
        <w:t xml:space="preserve"> =</w:t>
      </w:r>
      <w:r w:rsidR="00371028" w:rsidRPr="00724E7A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 w:rsidR="00371028" w:rsidRPr="00724E7A">
        <w:rPr>
          <w:bCs/>
          <w:sz w:val="24"/>
          <w:szCs w:val="24"/>
          <w:lang w:val="it-IT"/>
        </w:rPr>
        <w:t>ER/60; C</w:t>
      </w:r>
      <w:r w:rsidR="00371028" w:rsidRPr="00724E7A">
        <w:rPr>
          <w:bCs/>
          <w:sz w:val="24"/>
          <w:szCs w:val="24"/>
          <w:vertAlign w:val="subscript"/>
          <w:lang w:val="it-IT"/>
        </w:rPr>
        <w:t>B</w:t>
      </w:r>
      <w:r w:rsidR="00371028" w:rsidRPr="00724E7A">
        <w:rPr>
          <w:bCs/>
          <w:sz w:val="24"/>
          <w:szCs w:val="24"/>
          <w:lang w:val="it-IT"/>
        </w:rPr>
        <w:t xml:space="preserve"> = 1.0 – 1.05 – 1.15 (</w:t>
      </w:r>
      <w:r w:rsidRPr="00724E7A">
        <w:rPr>
          <w:bCs/>
          <w:sz w:val="24"/>
          <w:szCs w:val="24"/>
          <w:lang w:val="it-IT"/>
        </w:rPr>
        <w:t>per diametri del foro di sondaggio pari rispettivamente a</w:t>
      </w:r>
      <w:r w:rsidR="00371028" w:rsidRPr="00724E7A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 w:rsidR="00371028">
        <w:rPr>
          <w:rFonts w:ascii="Symbol" w:hAnsi="Symbol" w:cs="Arial"/>
          <w:bCs/>
          <w:sz w:val="22"/>
          <w:szCs w:val="22"/>
          <w:lang w:val="en-GB"/>
        </w:rPr>
        <w:t></w:t>
      </w:r>
      <w:r w:rsidR="00371028" w:rsidRPr="00724E7A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 w:rsidR="00371028" w:rsidRPr="00724E7A">
        <w:rPr>
          <w:bCs/>
          <w:sz w:val="24"/>
          <w:szCs w:val="24"/>
          <w:lang w:val="it-IT"/>
        </w:rPr>
        <w:t>= 65 –115; 150; 200 mm); C</w:t>
      </w:r>
      <w:r w:rsidR="00371028" w:rsidRPr="00724E7A">
        <w:rPr>
          <w:bCs/>
          <w:sz w:val="24"/>
          <w:szCs w:val="24"/>
          <w:vertAlign w:val="subscript"/>
          <w:lang w:val="it-IT"/>
        </w:rPr>
        <w:t>R</w:t>
      </w:r>
      <w:r w:rsidR="00371028" w:rsidRPr="00724E7A">
        <w:rPr>
          <w:bCs/>
          <w:sz w:val="24"/>
          <w:szCs w:val="24"/>
          <w:lang w:val="it-IT"/>
        </w:rPr>
        <w:t xml:space="preserve"> = 0.75 – 0.8 – 0.85 – 0.95 – 1.0 (</w:t>
      </w:r>
      <w:r>
        <w:rPr>
          <w:bCs/>
          <w:sz w:val="24"/>
          <w:szCs w:val="24"/>
          <w:lang w:val="it-IT"/>
        </w:rPr>
        <w:t>se la batteria di aste è lunga rispettivamente</w:t>
      </w:r>
      <w:r w:rsidR="00371028" w:rsidRPr="00724E7A">
        <w:rPr>
          <w:bCs/>
          <w:sz w:val="24"/>
          <w:szCs w:val="24"/>
          <w:lang w:val="it-IT"/>
        </w:rPr>
        <w:t xml:space="preserve"> L &lt; 3 m; 3&lt; L &lt; 4; 4&lt; L &lt; 6; 6 &lt; L &lt; 10; 10 &lt; L &lt; 30); C</w:t>
      </w:r>
      <w:r w:rsidR="00371028" w:rsidRPr="00724E7A">
        <w:rPr>
          <w:bCs/>
          <w:sz w:val="24"/>
          <w:szCs w:val="24"/>
          <w:vertAlign w:val="subscript"/>
          <w:lang w:val="it-IT"/>
        </w:rPr>
        <w:t>S</w:t>
      </w:r>
      <w:r w:rsidR="00371028" w:rsidRPr="00724E7A">
        <w:rPr>
          <w:bCs/>
          <w:sz w:val="24"/>
          <w:szCs w:val="24"/>
          <w:lang w:val="it-IT"/>
        </w:rPr>
        <w:t xml:space="preserve"> = 1.0 (</w:t>
      </w:r>
      <w:r>
        <w:rPr>
          <w:bCs/>
          <w:sz w:val="24"/>
          <w:szCs w:val="24"/>
          <w:lang w:val="it-IT"/>
        </w:rPr>
        <w:t xml:space="preserve">campionatore </w:t>
      </w:r>
      <w:r w:rsidR="00371028" w:rsidRPr="00724E7A">
        <w:rPr>
          <w:bCs/>
          <w:sz w:val="24"/>
          <w:szCs w:val="24"/>
          <w:lang w:val="it-IT"/>
        </w:rPr>
        <w:t>standard) o 1.3 (</w:t>
      </w:r>
      <w:r>
        <w:rPr>
          <w:bCs/>
          <w:sz w:val="24"/>
          <w:szCs w:val="24"/>
          <w:lang w:val="it-IT"/>
        </w:rPr>
        <w:t xml:space="preserve">Campionatore </w:t>
      </w:r>
      <w:r w:rsidR="00371028" w:rsidRPr="00724E7A">
        <w:rPr>
          <w:bCs/>
          <w:sz w:val="24"/>
          <w:szCs w:val="24"/>
          <w:lang w:val="it-IT"/>
        </w:rPr>
        <w:t xml:space="preserve">Standard </w:t>
      </w:r>
      <w:r>
        <w:rPr>
          <w:bCs/>
          <w:sz w:val="24"/>
          <w:szCs w:val="24"/>
          <w:lang w:val="it-IT"/>
        </w:rPr>
        <w:t>senza liner in PVC</w:t>
      </w:r>
      <w:r w:rsidR="00371028" w:rsidRPr="00724E7A">
        <w:rPr>
          <w:bCs/>
          <w:sz w:val="24"/>
          <w:szCs w:val="24"/>
          <w:lang w:val="it-IT"/>
        </w:rPr>
        <w:t xml:space="preserve">). </w:t>
      </w:r>
      <w:r w:rsidR="00371028" w:rsidRPr="00D24E41">
        <w:rPr>
          <w:bCs/>
          <w:sz w:val="24"/>
          <w:szCs w:val="24"/>
          <w:lang w:val="en-GB"/>
        </w:rPr>
        <w:t xml:space="preserve">ER = </w:t>
      </w:r>
      <w:proofErr w:type="spellStart"/>
      <w:r w:rsidRPr="00D24E41">
        <w:rPr>
          <w:bCs/>
          <w:sz w:val="24"/>
          <w:szCs w:val="24"/>
          <w:lang w:val="en-GB"/>
        </w:rPr>
        <w:t>rendimento</w:t>
      </w:r>
      <w:proofErr w:type="spellEnd"/>
      <w:r w:rsidRPr="00D24E41">
        <w:rPr>
          <w:bCs/>
          <w:sz w:val="24"/>
          <w:szCs w:val="24"/>
          <w:lang w:val="en-GB"/>
        </w:rPr>
        <w:t xml:space="preserve"> </w:t>
      </w:r>
      <w:proofErr w:type="spellStart"/>
      <w:r w:rsidRPr="00D24E41">
        <w:rPr>
          <w:bCs/>
          <w:sz w:val="24"/>
          <w:szCs w:val="24"/>
          <w:lang w:val="en-GB"/>
        </w:rPr>
        <w:t>energetico</w:t>
      </w:r>
      <w:proofErr w:type="spellEnd"/>
      <w:r w:rsidRPr="00D24E41">
        <w:rPr>
          <w:bCs/>
          <w:sz w:val="24"/>
          <w:szCs w:val="24"/>
          <w:lang w:val="en-GB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D24E41">
            <w:rPr>
              <w:bCs/>
              <w:sz w:val="24"/>
              <w:szCs w:val="24"/>
              <w:lang w:val="en-GB"/>
            </w:rPr>
            <w:t>del</w:t>
          </w:r>
        </w:smartTag>
      </w:smartTag>
      <w:r w:rsidRPr="00D24E41">
        <w:rPr>
          <w:bCs/>
          <w:sz w:val="24"/>
          <w:szCs w:val="24"/>
          <w:lang w:val="en-GB"/>
        </w:rPr>
        <w:t xml:space="preserve"> </w:t>
      </w:r>
      <w:proofErr w:type="spellStart"/>
      <w:r w:rsidRPr="00D24E41">
        <w:rPr>
          <w:bCs/>
          <w:sz w:val="24"/>
          <w:szCs w:val="24"/>
          <w:lang w:val="en-GB"/>
        </w:rPr>
        <w:t>sistema</w:t>
      </w:r>
      <w:proofErr w:type="spellEnd"/>
      <w:r w:rsidRPr="00D24E41">
        <w:rPr>
          <w:bCs/>
          <w:sz w:val="24"/>
          <w:szCs w:val="24"/>
          <w:lang w:val="en-GB"/>
        </w:rPr>
        <w:t xml:space="preserve"> di </w:t>
      </w:r>
      <w:proofErr w:type="spellStart"/>
      <w:r w:rsidRPr="00D24E41">
        <w:rPr>
          <w:bCs/>
          <w:sz w:val="24"/>
          <w:szCs w:val="24"/>
          <w:lang w:val="en-GB"/>
        </w:rPr>
        <w:t>battitura</w:t>
      </w:r>
      <w:proofErr w:type="spellEnd"/>
      <w:r w:rsidR="00371028" w:rsidRPr="00D24E41">
        <w:rPr>
          <w:bCs/>
          <w:sz w:val="24"/>
          <w:szCs w:val="24"/>
          <w:lang w:val="en-GB"/>
        </w:rPr>
        <w:t>.</w:t>
      </w:r>
    </w:p>
    <w:p w14:paraId="54A4EBB6" w14:textId="77777777" w:rsidR="00D24E41" w:rsidRPr="00D24E41" w:rsidRDefault="00D24E41" w:rsidP="00FE66EC">
      <w:pPr>
        <w:pStyle w:val="Text"/>
        <w:ind w:firstLine="0"/>
        <w:rPr>
          <w:bCs/>
          <w:sz w:val="24"/>
          <w:szCs w:val="24"/>
          <w:lang w:val="en-GB"/>
        </w:rPr>
      </w:pPr>
    </w:p>
    <w:p w14:paraId="55F3827A" w14:textId="77777777" w:rsidR="00D24E41" w:rsidRDefault="00D24E41" w:rsidP="00FE66EC">
      <w:pPr>
        <w:pStyle w:val="Text"/>
        <w:ind w:firstLine="0"/>
        <w:rPr>
          <w:bCs/>
          <w:sz w:val="24"/>
          <w:szCs w:val="24"/>
          <w:lang w:val="it-IT"/>
        </w:rPr>
      </w:pPr>
      <w:r w:rsidRPr="00D24E41">
        <w:rPr>
          <w:bCs/>
          <w:sz w:val="24"/>
          <w:szCs w:val="24"/>
          <w:lang w:val="it-IT"/>
        </w:rPr>
        <w:t xml:space="preserve">La resistenza ciclica divisa per la tensione geostatica verticale efficace è detta </w:t>
      </w:r>
      <w:proofErr w:type="spellStart"/>
      <w:r w:rsidRPr="00D24E41">
        <w:rPr>
          <w:bCs/>
          <w:sz w:val="24"/>
          <w:szCs w:val="24"/>
          <w:lang w:val="it-IT"/>
        </w:rPr>
        <w:t>Cyclic</w:t>
      </w:r>
      <w:proofErr w:type="spellEnd"/>
      <w:r w:rsidRPr="00D24E41">
        <w:rPr>
          <w:bCs/>
          <w:sz w:val="24"/>
          <w:szCs w:val="24"/>
          <w:lang w:val="it-IT"/>
        </w:rPr>
        <w:t xml:space="preserve"> </w:t>
      </w:r>
      <w:proofErr w:type="spellStart"/>
      <w:r w:rsidRPr="00D24E41">
        <w:rPr>
          <w:bCs/>
          <w:sz w:val="24"/>
          <w:szCs w:val="24"/>
          <w:lang w:val="it-IT"/>
        </w:rPr>
        <w:t>Resistance</w:t>
      </w:r>
      <w:proofErr w:type="spellEnd"/>
      <w:r w:rsidRPr="00D24E41">
        <w:rPr>
          <w:bCs/>
          <w:sz w:val="24"/>
          <w:szCs w:val="24"/>
          <w:lang w:val="it-IT"/>
        </w:rPr>
        <w:t xml:space="preserve"> ratio (CRR) ed è calcolata (per un terremoto di Magnitudo </w:t>
      </w:r>
      <w:proofErr w:type="spellStart"/>
      <w:r w:rsidRPr="00D24E41">
        <w:rPr>
          <w:bCs/>
          <w:sz w:val="24"/>
          <w:szCs w:val="24"/>
          <w:lang w:val="it-IT"/>
        </w:rPr>
        <w:t>M</w:t>
      </w:r>
      <w:r w:rsidRPr="00D24E41">
        <w:rPr>
          <w:bCs/>
          <w:sz w:val="24"/>
          <w:szCs w:val="24"/>
          <w:vertAlign w:val="subscript"/>
          <w:lang w:val="it-IT"/>
        </w:rPr>
        <w:t>s</w:t>
      </w:r>
      <w:proofErr w:type="spellEnd"/>
      <w:r w:rsidRPr="00D24E41">
        <w:rPr>
          <w:bCs/>
          <w:sz w:val="24"/>
          <w:szCs w:val="24"/>
          <w:lang w:val="it-IT"/>
        </w:rPr>
        <w:t xml:space="preserve"> =7.5)</w:t>
      </w:r>
      <w:r>
        <w:rPr>
          <w:bCs/>
          <w:sz w:val="24"/>
          <w:szCs w:val="24"/>
          <w:lang w:val="it-IT"/>
        </w:rPr>
        <w:t xml:space="preserve"> e per una sabbia pulita utilizzando la seguente espressione.</w:t>
      </w:r>
      <w:r w:rsidR="00654099">
        <w:rPr>
          <w:bCs/>
          <w:sz w:val="24"/>
          <w:szCs w:val="24"/>
          <w:lang w:val="it-IT"/>
        </w:rPr>
        <w:t xml:space="preserve"> Questa espressione si basa sull’analisi di casi reali in cui si sono verificati fenomeni di liquefazione e per i quali erano </w:t>
      </w:r>
      <w:smartTag w:uri="urn:schemas-microsoft-com:office:smarttags" w:element="PersonName">
        <w:r w:rsidR="00654099">
          <w:rPr>
            <w:bCs/>
            <w:sz w:val="24"/>
            <w:szCs w:val="24"/>
            <w:lang w:val="it-IT"/>
          </w:rPr>
          <w:t>dis</w:t>
        </w:r>
      </w:smartTag>
      <w:r w:rsidR="00654099">
        <w:rPr>
          <w:bCs/>
          <w:sz w:val="24"/>
          <w:szCs w:val="24"/>
          <w:lang w:val="it-IT"/>
        </w:rPr>
        <w:t>ponibili misure di resistenza penetrometrica.</w:t>
      </w:r>
    </w:p>
    <w:p w14:paraId="79E16898" w14:textId="77777777" w:rsidR="00654099" w:rsidRPr="00D24E41" w:rsidRDefault="00654099" w:rsidP="00FE66EC">
      <w:pPr>
        <w:pStyle w:val="Text"/>
        <w:ind w:firstLine="0"/>
        <w:rPr>
          <w:bCs/>
          <w:sz w:val="24"/>
          <w:szCs w:val="24"/>
          <w:lang w:val="it-IT"/>
        </w:rPr>
      </w:pPr>
    </w:p>
    <w:p w14:paraId="57768D19" w14:textId="77777777" w:rsidR="00D24E41" w:rsidRPr="00D24E41" w:rsidRDefault="00371028" w:rsidP="00FE66EC">
      <w:pPr>
        <w:pStyle w:val="Text"/>
        <w:ind w:firstLine="0"/>
        <w:rPr>
          <w:bCs/>
          <w:sz w:val="24"/>
          <w:szCs w:val="24"/>
          <w:lang w:val="it-IT"/>
        </w:rPr>
      </w:pPr>
      <w:r w:rsidRPr="00D24E41">
        <w:rPr>
          <w:bCs/>
          <w:sz w:val="24"/>
          <w:szCs w:val="24"/>
          <w:lang w:val="it-IT"/>
        </w:rPr>
        <w:t>CRR</w:t>
      </w:r>
      <w:r w:rsidRPr="00D24E41">
        <w:rPr>
          <w:bCs/>
          <w:sz w:val="24"/>
          <w:szCs w:val="24"/>
          <w:vertAlign w:val="subscript"/>
          <w:lang w:val="it-IT"/>
        </w:rPr>
        <w:t xml:space="preserve">7.5 </w:t>
      </w:r>
      <w:r w:rsidRPr="00D24E41">
        <w:rPr>
          <w:bCs/>
          <w:sz w:val="24"/>
          <w:szCs w:val="24"/>
          <w:lang w:val="it-IT"/>
        </w:rPr>
        <w:t>= 1</w:t>
      </w:r>
      <w:proofErr w:type="gramStart"/>
      <w:r w:rsidRPr="00D24E41">
        <w:rPr>
          <w:bCs/>
          <w:sz w:val="24"/>
          <w:szCs w:val="24"/>
          <w:lang w:val="it-IT"/>
        </w:rPr>
        <w:t>/[</w:t>
      </w:r>
      <w:proofErr w:type="gramEnd"/>
      <w:r w:rsidRPr="00D24E41">
        <w:rPr>
          <w:bCs/>
          <w:sz w:val="24"/>
          <w:szCs w:val="24"/>
          <w:lang w:val="it-IT"/>
        </w:rPr>
        <w:t>34 - (N</w:t>
      </w:r>
      <w:r w:rsidRPr="00D24E41">
        <w:rPr>
          <w:bCs/>
          <w:sz w:val="24"/>
          <w:szCs w:val="24"/>
          <w:vertAlign w:val="subscript"/>
          <w:lang w:val="it-IT"/>
        </w:rPr>
        <w:t>1</w:t>
      </w:r>
      <w:r w:rsidRPr="00D24E41">
        <w:rPr>
          <w:bCs/>
          <w:sz w:val="24"/>
          <w:szCs w:val="24"/>
          <w:lang w:val="it-IT"/>
        </w:rPr>
        <w:t>)</w:t>
      </w:r>
      <w:r w:rsidRPr="00D24E41">
        <w:rPr>
          <w:bCs/>
          <w:sz w:val="24"/>
          <w:szCs w:val="24"/>
          <w:vertAlign w:val="subscript"/>
          <w:lang w:val="it-IT"/>
        </w:rPr>
        <w:t>60</w:t>
      </w:r>
      <w:r w:rsidRPr="00D24E41">
        <w:rPr>
          <w:bCs/>
          <w:sz w:val="24"/>
          <w:szCs w:val="24"/>
          <w:lang w:val="it-IT"/>
        </w:rPr>
        <w:t>] + (N</w:t>
      </w:r>
      <w:r w:rsidRPr="00D24E41">
        <w:rPr>
          <w:bCs/>
          <w:sz w:val="24"/>
          <w:szCs w:val="24"/>
          <w:vertAlign w:val="subscript"/>
          <w:lang w:val="it-IT"/>
        </w:rPr>
        <w:t>1</w:t>
      </w:r>
      <w:r w:rsidRPr="00D24E41">
        <w:rPr>
          <w:bCs/>
          <w:sz w:val="24"/>
          <w:szCs w:val="24"/>
          <w:lang w:val="it-IT"/>
        </w:rPr>
        <w:t>)</w:t>
      </w:r>
      <w:r w:rsidRPr="00D24E41">
        <w:rPr>
          <w:bCs/>
          <w:sz w:val="24"/>
          <w:szCs w:val="24"/>
          <w:vertAlign w:val="subscript"/>
          <w:lang w:val="it-IT"/>
        </w:rPr>
        <w:t>60</w:t>
      </w:r>
      <w:r w:rsidRPr="00D24E41">
        <w:rPr>
          <w:bCs/>
          <w:sz w:val="24"/>
          <w:szCs w:val="24"/>
          <w:lang w:val="it-IT"/>
        </w:rPr>
        <w:t>/135 + 50/[10(N</w:t>
      </w:r>
      <w:r w:rsidRPr="00D24E41">
        <w:rPr>
          <w:bCs/>
          <w:sz w:val="24"/>
          <w:szCs w:val="24"/>
          <w:vertAlign w:val="subscript"/>
          <w:lang w:val="it-IT"/>
        </w:rPr>
        <w:t>1</w:t>
      </w:r>
      <w:r w:rsidRPr="00D24E41">
        <w:rPr>
          <w:bCs/>
          <w:sz w:val="24"/>
          <w:szCs w:val="24"/>
          <w:lang w:val="it-IT"/>
        </w:rPr>
        <w:t>)</w:t>
      </w:r>
      <w:r w:rsidRPr="00D24E41">
        <w:rPr>
          <w:bCs/>
          <w:sz w:val="24"/>
          <w:szCs w:val="24"/>
          <w:vertAlign w:val="subscript"/>
          <w:lang w:val="it-IT"/>
        </w:rPr>
        <w:t>60</w:t>
      </w:r>
      <w:r w:rsidRPr="00D24E41">
        <w:rPr>
          <w:bCs/>
          <w:sz w:val="24"/>
          <w:szCs w:val="24"/>
          <w:lang w:val="it-IT"/>
        </w:rPr>
        <w:t xml:space="preserve"> + 45]</w:t>
      </w:r>
      <w:r w:rsidRPr="00D24E41">
        <w:rPr>
          <w:bCs/>
          <w:sz w:val="24"/>
          <w:szCs w:val="24"/>
          <w:vertAlign w:val="superscript"/>
          <w:lang w:val="it-IT"/>
        </w:rPr>
        <w:t>2</w:t>
      </w:r>
      <w:r w:rsidRPr="00D24E41">
        <w:rPr>
          <w:bCs/>
          <w:sz w:val="24"/>
          <w:szCs w:val="24"/>
          <w:lang w:val="it-IT"/>
        </w:rPr>
        <w:t xml:space="preserve"> –1/200 </w:t>
      </w:r>
      <w:r w:rsidR="00D24E41" w:rsidRPr="00D24E41">
        <w:rPr>
          <w:bCs/>
          <w:sz w:val="24"/>
          <w:szCs w:val="24"/>
          <w:lang w:val="it-IT"/>
        </w:rPr>
        <w:tab/>
      </w:r>
      <w:r w:rsidR="00D24E41" w:rsidRPr="00D24E41">
        <w:rPr>
          <w:bCs/>
          <w:sz w:val="24"/>
          <w:szCs w:val="24"/>
          <w:lang w:val="it-IT"/>
        </w:rPr>
        <w:tab/>
      </w:r>
      <w:r w:rsidR="00D24E41" w:rsidRPr="00D24E41">
        <w:rPr>
          <w:bCs/>
          <w:sz w:val="24"/>
          <w:szCs w:val="24"/>
          <w:lang w:val="it-IT"/>
        </w:rPr>
        <w:tab/>
        <w:t>(3)</w:t>
      </w:r>
    </w:p>
    <w:p w14:paraId="7A0FD7E9" w14:textId="77777777" w:rsidR="00D24E41" w:rsidRPr="00DF4493" w:rsidRDefault="00D24E41" w:rsidP="00FE66EC">
      <w:pPr>
        <w:pStyle w:val="Text"/>
        <w:ind w:firstLine="0"/>
        <w:rPr>
          <w:bCs/>
          <w:sz w:val="24"/>
          <w:szCs w:val="24"/>
          <w:lang w:val="it-IT"/>
        </w:rPr>
      </w:pPr>
    </w:p>
    <w:p w14:paraId="4CDB120F" w14:textId="77777777" w:rsidR="00D24E41" w:rsidRPr="00DF4493" w:rsidRDefault="00D24E41" w:rsidP="00FE66EC">
      <w:pPr>
        <w:pStyle w:val="Text"/>
        <w:ind w:firstLine="0"/>
        <w:rPr>
          <w:bCs/>
          <w:sz w:val="24"/>
          <w:szCs w:val="24"/>
          <w:lang w:val="it-IT"/>
        </w:rPr>
      </w:pPr>
      <w:r w:rsidRPr="00DF4493">
        <w:rPr>
          <w:bCs/>
          <w:sz w:val="24"/>
          <w:szCs w:val="24"/>
          <w:lang w:val="it-IT"/>
        </w:rPr>
        <w:t>L’equazione 3 perde significato per resistenze penetrometriche superiori a 34 colpi.</w:t>
      </w:r>
    </w:p>
    <w:p w14:paraId="0B50B294" w14:textId="77777777" w:rsidR="00D24E41" w:rsidRPr="00D24E41" w:rsidRDefault="00D24E41" w:rsidP="00FE66EC">
      <w:pPr>
        <w:pStyle w:val="Text"/>
        <w:ind w:firstLine="0"/>
        <w:rPr>
          <w:rFonts w:ascii="Arial" w:hAnsi="Arial" w:cs="Arial"/>
          <w:bCs/>
          <w:sz w:val="22"/>
          <w:szCs w:val="22"/>
          <w:lang w:val="it-IT"/>
        </w:rPr>
      </w:pPr>
    </w:p>
    <w:p w14:paraId="31DF852C" w14:textId="77777777" w:rsidR="00D24E41" w:rsidRPr="00D24E41" w:rsidRDefault="00D24E41" w:rsidP="00FE66EC">
      <w:pPr>
        <w:pStyle w:val="Text"/>
        <w:ind w:firstLine="0"/>
        <w:rPr>
          <w:bCs/>
          <w:sz w:val="24"/>
          <w:szCs w:val="24"/>
          <w:lang w:val="it-IT"/>
        </w:rPr>
      </w:pPr>
      <w:r w:rsidRPr="00D24E41">
        <w:rPr>
          <w:bCs/>
          <w:sz w:val="24"/>
          <w:szCs w:val="24"/>
          <w:lang w:val="it-IT"/>
        </w:rPr>
        <w:t xml:space="preserve">L’equazione 3 vale ancora per sabbie con fine se al posto di </w:t>
      </w:r>
      <w:r w:rsidR="00371028" w:rsidRPr="00D24E41">
        <w:rPr>
          <w:bCs/>
          <w:sz w:val="24"/>
          <w:szCs w:val="24"/>
          <w:lang w:val="it-IT"/>
        </w:rPr>
        <w:t>(N</w:t>
      </w:r>
      <w:r w:rsidR="00371028" w:rsidRPr="00D24E41">
        <w:rPr>
          <w:bCs/>
          <w:sz w:val="24"/>
          <w:szCs w:val="24"/>
          <w:vertAlign w:val="subscript"/>
          <w:lang w:val="it-IT"/>
        </w:rPr>
        <w:t>1</w:t>
      </w:r>
      <w:r w:rsidR="00371028" w:rsidRPr="00D24E41">
        <w:rPr>
          <w:bCs/>
          <w:sz w:val="24"/>
          <w:szCs w:val="24"/>
          <w:lang w:val="it-IT"/>
        </w:rPr>
        <w:t>)</w:t>
      </w:r>
      <w:r w:rsidR="00371028" w:rsidRPr="00D24E41">
        <w:rPr>
          <w:bCs/>
          <w:sz w:val="24"/>
          <w:szCs w:val="24"/>
          <w:vertAlign w:val="subscript"/>
          <w:lang w:val="it-IT"/>
        </w:rPr>
        <w:t>60</w:t>
      </w:r>
      <w:r w:rsidR="00371028" w:rsidRPr="00D24E41">
        <w:rPr>
          <w:bCs/>
          <w:sz w:val="24"/>
          <w:szCs w:val="24"/>
          <w:lang w:val="it-IT"/>
        </w:rPr>
        <w:t xml:space="preserve"> </w:t>
      </w:r>
      <w:r w:rsidRPr="00D24E41">
        <w:rPr>
          <w:bCs/>
          <w:sz w:val="24"/>
          <w:szCs w:val="24"/>
          <w:lang w:val="it-IT"/>
        </w:rPr>
        <w:t xml:space="preserve">si utilizza la seguente espressione corretta </w:t>
      </w:r>
      <w:r w:rsidR="00371028" w:rsidRPr="00D24E41">
        <w:rPr>
          <w:bCs/>
          <w:sz w:val="24"/>
          <w:szCs w:val="24"/>
          <w:lang w:val="it-IT"/>
        </w:rPr>
        <w:t>(N</w:t>
      </w:r>
      <w:r w:rsidR="00371028" w:rsidRPr="00D24E41">
        <w:rPr>
          <w:bCs/>
          <w:sz w:val="24"/>
          <w:szCs w:val="24"/>
          <w:vertAlign w:val="subscript"/>
          <w:lang w:val="it-IT"/>
        </w:rPr>
        <w:t>1</w:t>
      </w:r>
      <w:r w:rsidR="00371028" w:rsidRPr="00D24E41">
        <w:rPr>
          <w:bCs/>
          <w:sz w:val="24"/>
          <w:szCs w:val="24"/>
          <w:lang w:val="it-IT"/>
        </w:rPr>
        <w:t>)60</w:t>
      </w:r>
      <w:r w:rsidR="00371028" w:rsidRPr="00D24E41">
        <w:rPr>
          <w:bCs/>
          <w:sz w:val="24"/>
          <w:szCs w:val="24"/>
          <w:vertAlign w:val="subscript"/>
          <w:lang w:val="it-IT"/>
        </w:rPr>
        <w:t>cs</w:t>
      </w:r>
      <w:r w:rsidR="00371028" w:rsidRPr="00D24E41">
        <w:rPr>
          <w:bCs/>
          <w:sz w:val="24"/>
          <w:szCs w:val="24"/>
          <w:lang w:val="it-IT"/>
        </w:rPr>
        <w:t xml:space="preserve"> =</w:t>
      </w:r>
      <w:r w:rsidR="00371028" w:rsidRPr="00D24E41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 w:rsidR="00371028">
        <w:rPr>
          <w:rFonts w:ascii="Symbol" w:hAnsi="Symbol" w:cs="Arial"/>
          <w:bCs/>
          <w:sz w:val="22"/>
          <w:szCs w:val="22"/>
          <w:lang w:val="en-GB"/>
        </w:rPr>
        <w:t></w:t>
      </w:r>
      <w:r w:rsidR="00371028" w:rsidRPr="00D24E41">
        <w:rPr>
          <w:rFonts w:ascii="Arial" w:hAnsi="Arial" w:cs="Arial"/>
          <w:bCs/>
          <w:sz w:val="22"/>
          <w:szCs w:val="22"/>
          <w:lang w:val="it-IT"/>
        </w:rPr>
        <w:t xml:space="preserve"> + </w:t>
      </w:r>
      <w:r w:rsidR="00371028" w:rsidRPr="00D24E41">
        <w:rPr>
          <w:rFonts w:ascii="Symbol" w:hAnsi="Symbol"/>
          <w:bCs/>
          <w:sz w:val="22"/>
          <w:szCs w:val="22"/>
          <w:lang w:val="en-GB"/>
        </w:rPr>
        <w:t></w:t>
      </w:r>
      <w:r w:rsidR="00371028" w:rsidRPr="00D24E41">
        <w:rPr>
          <w:bCs/>
          <w:sz w:val="22"/>
          <w:szCs w:val="22"/>
          <w:lang w:val="it-IT"/>
        </w:rPr>
        <w:t>(N</w:t>
      </w:r>
      <w:r w:rsidR="00371028" w:rsidRPr="00D24E41">
        <w:rPr>
          <w:bCs/>
          <w:sz w:val="22"/>
          <w:szCs w:val="22"/>
          <w:vertAlign w:val="subscript"/>
          <w:lang w:val="it-IT"/>
        </w:rPr>
        <w:t>1</w:t>
      </w:r>
      <w:r w:rsidR="00371028" w:rsidRPr="00D24E41">
        <w:rPr>
          <w:bCs/>
          <w:sz w:val="22"/>
          <w:szCs w:val="22"/>
          <w:lang w:val="it-IT"/>
        </w:rPr>
        <w:t>)</w:t>
      </w:r>
      <w:r w:rsidR="00371028" w:rsidRPr="00D24E41">
        <w:rPr>
          <w:bCs/>
          <w:sz w:val="22"/>
          <w:szCs w:val="22"/>
          <w:vertAlign w:val="subscript"/>
          <w:lang w:val="it-IT"/>
        </w:rPr>
        <w:t>60</w:t>
      </w:r>
      <w:r w:rsidR="00371028" w:rsidRPr="00D24E41">
        <w:rPr>
          <w:bCs/>
          <w:sz w:val="22"/>
          <w:szCs w:val="22"/>
          <w:lang w:val="it-IT"/>
        </w:rPr>
        <w:t xml:space="preserve">. </w:t>
      </w:r>
      <w:r w:rsidRPr="00D24E41">
        <w:rPr>
          <w:bCs/>
          <w:sz w:val="22"/>
          <w:szCs w:val="22"/>
          <w:lang w:val="it-IT"/>
        </w:rPr>
        <w:t>I parametri</w:t>
      </w:r>
      <w:r w:rsidRPr="00D24E41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 w:rsidR="00371028">
        <w:rPr>
          <w:rFonts w:ascii="Symbol" w:hAnsi="Symbol" w:cs="Arial"/>
          <w:bCs/>
          <w:sz w:val="22"/>
          <w:szCs w:val="22"/>
          <w:lang w:val="en-GB"/>
        </w:rPr>
        <w:t></w:t>
      </w:r>
      <w:r w:rsidR="00371028" w:rsidRPr="00D24E41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 w:rsidRPr="00D24E41">
        <w:rPr>
          <w:bCs/>
          <w:sz w:val="24"/>
          <w:szCs w:val="24"/>
          <w:lang w:val="it-IT"/>
        </w:rPr>
        <w:t>e</w:t>
      </w:r>
      <w:r w:rsidR="00371028" w:rsidRPr="00D24E41">
        <w:rPr>
          <w:bCs/>
          <w:sz w:val="24"/>
          <w:szCs w:val="24"/>
          <w:lang w:val="it-IT"/>
        </w:rPr>
        <w:t xml:space="preserve"> </w:t>
      </w:r>
      <w:r w:rsidR="00371028">
        <w:rPr>
          <w:rFonts w:ascii="Symbol" w:hAnsi="Symbol" w:cs="Arial"/>
          <w:bCs/>
          <w:sz w:val="22"/>
          <w:szCs w:val="22"/>
          <w:lang w:val="en-GB"/>
        </w:rPr>
        <w:t></w:t>
      </w:r>
      <w:r w:rsidR="00371028" w:rsidRPr="00D24E41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 w:rsidRPr="00D24E41">
        <w:rPr>
          <w:bCs/>
          <w:sz w:val="24"/>
          <w:szCs w:val="24"/>
          <w:lang w:val="it-IT"/>
        </w:rPr>
        <w:t>sono riportati in Tabella 1 in funzione del contenuto di fine FC.</w:t>
      </w:r>
    </w:p>
    <w:p w14:paraId="6704C5AB" w14:textId="77777777" w:rsidR="00371028" w:rsidRPr="00DF4493" w:rsidRDefault="00DF4493" w:rsidP="00FE66EC">
      <w:pPr>
        <w:pStyle w:val="Text"/>
        <w:ind w:firstLine="0"/>
        <w:rPr>
          <w:bCs/>
          <w:sz w:val="24"/>
          <w:szCs w:val="24"/>
          <w:lang w:val="it-IT"/>
        </w:rPr>
      </w:pPr>
      <w:r w:rsidRPr="00DF4493">
        <w:rPr>
          <w:bCs/>
          <w:sz w:val="24"/>
          <w:szCs w:val="24"/>
          <w:lang w:val="it-IT"/>
        </w:rPr>
        <w:t>La Tabella</w:t>
      </w:r>
      <w:r w:rsidR="00371028" w:rsidRPr="00DF4493">
        <w:rPr>
          <w:bCs/>
          <w:sz w:val="24"/>
          <w:szCs w:val="24"/>
          <w:lang w:val="it-IT"/>
        </w:rPr>
        <w:t xml:space="preserve"> 2 </w:t>
      </w:r>
      <w:r w:rsidRPr="00DF4493">
        <w:rPr>
          <w:bCs/>
          <w:sz w:val="24"/>
          <w:szCs w:val="24"/>
          <w:lang w:val="it-IT"/>
        </w:rPr>
        <w:t>fornisce invece il fattore</w:t>
      </w:r>
      <w:r w:rsidR="00371028" w:rsidRPr="00DF4493">
        <w:rPr>
          <w:bCs/>
          <w:sz w:val="24"/>
          <w:szCs w:val="24"/>
          <w:lang w:val="it-IT"/>
        </w:rPr>
        <w:t xml:space="preserve"> CM </w:t>
      </w:r>
      <w:r w:rsidRPr="00DF4493">
        <w:rPr>
          <w:bCs/>
          <w:sz w:val="24"/>
          <w:szCs w:val="24"/>
          <w:lang w:val="it-IT"/>
        </w:rPr>
        <w:t xml:space="preserve">che va moltiplicato per </w:t>
      </w:r>
      <w:r w:rsidR="00371028" w:rsidRPr="00DF4493">
        <w:rPr>
          <w:bCs/>
          <w:sz w:val="24"/>
          <w:szCs w:val="24"/>
          <w:lang w:val="it-IT"/>
        </w:rPr>
        <w:t>CRR</w:t>
      </w:r>
      <w:r w:rsidR="00371028" w:rsidRPr="00DF4493">
        <w:rPr>
          <w:bCs/>
          <w:sz w:val="24"/>
          <w:szCs w:val="24"/>
          <w:vertAlign w:val="subscript"/>
          <w:lang w:val="it-IT"/>
        </w:rPr>
        <w:t>7.5</w:t>
      </w:r>
      <w:r w:rsidR="00371028" w:rsidRPr="00DF4493">
        <w:rPr>
          <w:bCs/>
          <w:sz w:val="24"/>
          <w:szCs w:val="24"/>
          <w:lang w:val="it-IT"/>
        </w:rPr>
        <w:t xml:space="preserve"> </w:t>
      </w:r>
      <w:r w:rsidRPr="00DF4493">
        <w:rPr>
          <w:bCs/>
          <w:sz w:val="24"/>
          <w:szCs w:val="24"/>
          <w:lang w:val="it-IT"/>
        </w:rPr>
        <w:t xml:space="preserve">nel caso in cui la Magnitudo delle onde di superficie sia diversa da </w:t>
      </w:r>
      <w:r w:rsidR="00371028" w:rsidRPr="00DF4493">
        <w:rPr>
          <w:bCs/>
          <w:sz w:val="24"/>
          <w:szCs w:val="24"/>
          <w:lang w:val="it-IT"/>
        </w:rPr>
        <w:t>7.5.</w:t>
      </w:r>
      <w:r>
        <w:rPr>
          <w:bCs/>
          <w:sz w:val="24"/>
          <w:szCs w:val="24"/>
          <w:lang w:val="it-IT"/>
        </w:rPr>
        <w:t xml:space="preserve"> La Magnitudo andrebbe definita attraverso una de-aggregazione della pericolosità sismica ovverosia individuando la coppia Magnitudo – </w:t>
      </w:r>
      <w:smartTag w:uri="urn:schemas-microsoft-com:office:smarttags" w:element="PersonName">
        <w:r>
          <w:rPr>
            <w:bCs/>
            <w:sz w:val="24"/>
            <w:szCs w:val="24"/>
            <w:lang w:val="it-IT"/>
          </w:rPr>
          <w:t>dis</w:t>
        </w:r>
      </w:smartTag>
      <w:r>
        <w:rPr>
          <w:bCs/>
          <w:sz w:val="24"/>
          <w:szCs w:val="24"/>
          <w:lang w:val="it-IT"/>
        </w:rPr>
        <w:t>tanza che maggiormente contribuisce alla pericolosità sismica.</w:t>
      </w:r>
      <w:r w:rsidR="00C645E3">
        <w:rPr>
          <w:bCs/>
          <w:sz w:val="24"/>
          <w:szCs w:val="24"/>
          <w:lang w:val="it-IT"/>
        </w:rPr>
        <w:t xml:space="preserve"> La definizione della Magnitudo attesa equivale alla definizione della possibile durata del sisma e quindi del numero di cicli equivalenti di sollecitazione di taglio.</w:t>
      </w:r>
    </w:p>
    <w:p w14:paraId="3D202569" w14:textId="77777777" w:rsidR="00371028" w:rsidRPr="00DF4493" w:rsidRDefault="00371028" w:rsidP="00FE66EC">
      <w:pPr>
        <w:pStyle w:val="Text"/>
        <w:ind w:firstLine="0"/>
        <w:rPr>
          <w:rFonts w:ascii="Arial" w:hAnsi="Arial" w:cs="Arial"/>
          <w:szCs w:val="22"/>
          <w:lang w:val="it-IT"/>
        </w:rPr>
      </w:pPr>
    </w:p>
    <w:p w14:paraId="15480364" w14:textId="77777777" w:rsidR="00371028" w:rsidRPr="00F96A0A" w:rsidRDefault="00CE53A7" w:rsidP="00FE66EC">
      <w:pPr>
        <w:pStyle w:val="Text"/>
        <w:ind w:firstLine="0"/>
        <w:rPr>
          <w:sz w:val="24"/>
          <w:szCs w:val="24"/>
          <w:lang w:val="it-IT"/>
        </w:rPr>
      </w:pPr>
      <w:r w:rsidRPr="00F96A0A">
        <w:rPr>
          <w:sz w:val="24"/>
          <w:szCs w:val="24"/>
          <w:lang w:val="it-IT"/>
        </w:rPr>
        <w:t>Tabella</w:t>
      </w:r>
      <w:r w:rsidR="00371028" w:rsidRPr="00F96A0A">
        <w:rPr>
          <w:sz w:val="24"/>
          <w:szCs w:val="24"/>
          <w:lang w:val="it-IT"/>
        </w:rPr>
        <w:t xml:space="preserve"> </w:t>
      </w:r>
      <w:r w:rsidR="00F96A0A" w:rsidRPr="00F96A0A">
        <w:rPr>
          <w:sz w:val="24"/>
          <w:szCs w:val="24"/>
          <w:lang w:val="it-IT"/>
        </w:rPr>
        <w:t>1 Fattore correttivo</w:t>
      </w:r>
      <w:r w:rsidRPr="00F96A0A">
        <w:rPr>
          <w:sz w:val="24"/>
          <w:szCs w:val="24"/>
          <w:lang w:val="it-IT"/>
        </w:rPr>
        <w:t xml:space="preserve"> per sabbie che contengono del fine</w:t>
      </w:r>
    </w:p>
    <w:tbl>
      <w:tblPr>
        <w:tblW w:w="4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2120"/>
        <w:gridCol w:w="1681"/>
      </w:tblGrid>
      <w:tr w:rsidR="00371028" w14:paraId="3A4904B9" w14:textId="77777777">
        <w:trPr>
          <w:trHeight w:val="399"/>
          <w:jc w:val="center"/>
        </w:trPr>
        <w:tc>
          <w:tcPr>
            <w:tcW w:w="609" w:type="dxa"/>
          </w:tcPr>
          <w:p w14:paraId="06B6C96E" w14:textId="77777777" w:rsidR="00371028" w:rsidRPr="00CE53A7" w:rsidRDefault="00DF4493" w:rsidP="00FE66EC">
            <w:pPr>
              <w:pStyle w:val="Text"/>
              <w:ind w:firstLine="0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FC</w:t>
            </w:r>
            <w:r w:rsidR="00CE53A7" w:rsidRPr="00CE53A7">
              <w:rPr>
                <w:b/>
                <w:sz w:val="16"/>
                <w:szCs w:val="16"/>
                <w:lang w:val="en-GB"/>
              </w:rPr>
              <w:t xml:space="preserve"> (%)</w:t>
            </w:r>
          </w:p>
        </w:tc>
        <w:tc>
          <w:tcPr>
            <w:tcW w:w="2120" w:type="dxa"/>
          </w:tcPr>
          <w:p w14:paraId="2D5A39FC" w14:textId="77777777" w:rsidR="00371028" w:rsidRDefault="00371028" w:rsidP="00FE66EC">
            <w:pPr>
              <w:pStyle w:val="Text"/>
              <w:ind w:firstLine="0"/>
              <w:rPr>
                <w:rFonts w:ascii="Symbol" w:hAnsi="Symbol" w:cs="Arial" w:hint="eastAsia"/>
                <w:b/>
                <w:sz w:val="16"/>
                <w:szCs w:val="16"/>
                <w:lang w:val="en-GB"/>
              </w:rPr>
            </w:pPr>
            <w:r>
              <w:rPr>
                <w:rFonts w:ascii="Symbol" w:hAnsi="Symbol" w:cs="Arial"/>
                <w:b/>
                <w:sz w:val="16"/>
                <w:szCs w:val="16"/>
                <w:lang w:val="en-GB"/>
              </w:rPr>
              <w:t></w:t>
            </w:r>
          </w:p>
        </w:tc>
        <w:tc>
          <w:tcPr>
            <w:tcW w:w="1681" w:type="dxa"/>
          </w:tcPr>
          <w:p w14:paraId="796F34C9" w14:textId="77777777" w:rsidR="00371028" w:rsidRDefault="00371028" w:rsidP="00FE66EC">
            <w:pPr>
              <w:pStyle w:val="Text"/>
              <w:ind w:firstLine="0"/>
              <w:rPr>
                <w:rFonts w:ascii="Symbol" w:hAnsi="Symbol" w:cs="Arial" w:hint="eastAsia"/>
                <w:b/>
                <w:sz w:val="16"/>
                <w:szCs w:val="16"/>
                <w:lang w:val="en-GB"/>
              </w:rPr>
            </w:pPr>
            <w:r>
              <w:rPr>
                <w:rFonts w:ascii="Symbol" w:hAnsi="Symbol" w:cs="Arial"/>
                <w:b/>
                <w:sz w:val="16"/>
                <w:szCs w:val="16"/>
                <w:lang w:val="en-GB"/>
              </w:rPr>
              <w:t></w:t>
            </w:r>
          </w:p>
        </w:tc>
      </w:tr>
      <w:tr w:rsidR="00371028" w14:paraId="79B902D0" w14:textId="77777777">
        <w:trPr>
          <w:trHeight w:val="211"/>
          <w:jc w:val="center"/>
        </w:trPr>
        <w:tc>
          <w:tcPr>
            <w:tcW w:w="609" w:type="dxa"/>
          </w:tcPr>
          <w:p w14:paraId="1E46F0DF" w14:textId="77777777" w:rsidR="00371028" w:rsidRDefault="00371028" w:rsidP="00FE66EC">
            <w:pPr>
              <w:pStyle w:val="Text"/>
              <w:ind w:firstLine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it-IT"/>
              </w:rPr>
              <w:sym w:font="Symbol" w:char="00A3"/>
            </w:r>
            <w:r>
              <w:rPr>
                <w:rFonts w:ascii="Arial" w:hAnsi="Arial" w:cs="Arial"/>
                <w:bCs/>
                <w:sz w:val="16"/>
                <w:szCs w:val="16"/>
                <w:lang w:val="it-IT"/>
              </w:rPr>
              <w:t xml:space="preserve"> 5</w:t>
            </w:r>
          </w:p>
        </w:tc>
        <w:tc>
          <w:tcPr>
            <w:tcW w:w="2120" w:type="dxa"/>
          </w:tcPr>
          <w:p w14:paraId="22934F50" w14:textId="77777777" w:rsidR="00371028" w:rsidRDefault="00371028" w:rsidP="00FE66EC">
            <w:pPr>
              <w:pStyle w:val="Text"/>
              <w:ind w:firstLine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0</w:t>
            </w:r>
          </w:p>
        </w:tc>
        <w:tc>
          <w:tcPr>
            <w:tcW w:w="1681" w:type="dxa"/>
          </w:tcPr>
          <w:p w14:paraId="085681AA" w14:textId="77777777" w:rsidR="00371028" w:rsidRDefault="00371028" w:rsidP="00FE66EC">
            <w:pPr>
              <w:pStyle w:val="Text"/>
              <w:ind w:firstLine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1.0</w:t>
            </w:r>
          </w:p>
        </w:tc>
      </w:tr>
      <w:tr w:rsidR="00371028" w14:paraId="5716EE0B" w14:textId="77777777">
        <w:trPr>
          <w:trHeight w:val="211"/>
          <w:jc w:val="center"/>
        </w:trPr>
        <w:tc>
          <w:tcPr>
            <w:tcW w:w="609" w:type="dxa"/>
          </w:tcPr>
          <w:p w14:paraId="49ADDE46" w14:textId="77777777" w:rsidR="00371028" w:rsidRDefault="00371028" w:rsidP="00FE66EC">
            <w:pPr>
              <w:pStyle w:val="Text"/>
              <w:ind w:firstLine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5 -35</w:t>
            </w:r>
          </w:p>
        </w:tc>
        <w:tc>
          <w:tcPr>
            <w:tcW w:w="2120" w:type="dxa"/>
          </w:tcPr>
          <w:p w14:paraId="2E34EEE2" w14:textId="77777777" w:rsidR="00371028" w:rsidRDefault="00371028" w:rsidP="00FE66EC">
            <w:pPr>
              <w:pStyle w:val="Text"/>
              <w:ind w:firstLine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Symbol" w:hAnsi="Symbol" w:cs="Arial"/>
                <w:bCs/>
                <w:sz w:val="16"/>
                <w:szCs w:val="16"/>
                <w:lang w:val="it-IT"/>
              </w:rPr>
              <w:t></w:t>
            </w:r>
            <w:r>
              <w:rPr>
                <w:rFonts w:ascii="Arial" w:hAnsi="Arial" w:cs="Arial"/>
                <w:bCs/>
                <w:sz w:val="16"/>
                <w:szCs w:val="16"/>
                <w:lang w:val="it-IT"/>
              </w:rPr>
              <w:t xml:space="preserve"> = </w:t>
            </w:r>
            <w:proofErr w:type="spellStart"/>
            <w:proofErr w:type="gramStart"/>
            <w:r>
              <w:rPr>
                <w:rFonts w:ascii="Arial" w:hAnsi="Arial" w:cs="Arial"/>
                <w:bCs/>
                <w:sz w:val="16"/>
                <w:szCs w:val="16"/>
                <w:lang w:val="it-IT"/>
              </w:rPr>
              <w:t>exp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val="it-IT"/>
              </w:rPr>
              <w:t>(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  <w:lang w:val="it-IT"/>
              </w:rPr>
              <w:t>1.76-190/FC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it-IT"/>
              </w:rPr>
              <w:t>2</w:t>
            </w:r>
            <w:r>
              <w:rPr>
                <w:rFonts w:ascii="Arial" w:hAnsi="Arial" w:cs="Arial"/>
                <w:bCs/>
                <w:sz w:val="16"/>
                <w:szCs w:val="16"/>
                <w:lang w:val="it-IT"/>
              </w:rPr>
              <w:t>)</w:t>
            </w:r>
          </w:p>
        </w:tc>
        <w:tc>
          <w:tcPr>
            <w:tcW w:w="1681" w:type="dxa"/>
          </w:tcPr>
          <w:p w14:paraId="3FBD2A92" w14:textId="77777777" w:rsidR="00371028" w:rsidRDefault="00371028" w:rsidP="00FE66EC">
            <w:pPr>
              <w:pStyle w:val="Text"/>
              <w:ind w:firstLine="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Symbol" w:hAnsi="Symbol" w:cs="Arial"/>
                <w:bCs/>
                <w:sz w:val="16"/>
                <w:szCs w:val="16"/>
                <w:lang w:val="it-IT"/>
              </w:rPr>
              <w:t></w:t>
            </w:r>
            <w:r>
              <w:rPr>
                <w:rFonts w:ascii="Arial" w:hAnsi="Arial" w:cs="Arial"/>
                <w:bCs/>
                <w:sz w:val="16"/>
                <w:szCs w:val="16"/>
                <w:lang w:val="it-IT"/>
              </w:rPr>
              <w:t>=(0.99+FC</w:t>
            </w:r>
            <w:r>
              <w:rPr>
                <w:rFonts w:ascii="Arial" w:hAnsi="Arial" w:cs="Arial"/>
                <w:bCs/>
                <w:sz w:val="16"/>
                <w:szCs w:val="16"/>
                <w:vertAlign w:val="superscript"/>
                <w:lang w:val="it-IT"/>
              </w:rPr>
              <w:t>1.5</w:t>
            </w:r>
            <w:r>
              <w:rPr>
                <w:rFonts w:ascii="Arial" w:hAnsi="Arial" w:cs="Arial"/>
                <w:bCs/>
                <w:sz w:val="16"/>
                <w:szCs w:val="16"/>
                <w:lang w:val="it-IT"/>
              </w:rPr>
              <w:t>/1000)</w:t>
            </w:r>
          </w:p>
        </w:tc>
      </w:tr>
      <w:tr w:rsidR="00371028" w14:paraId="7E10B679" w14:textId="77777777">
        <w:trPr>
          <w:trHeight w:val="211"/>
          <w:jc w:val="center"/>
        </w:trPr>
        <w:tc>
          <w:tcPr>
            <w:tcW w:w="609" w:type="dxa"/>
          </w:tcPr>
          <w:p w14:paraId="25B6EF05" w14:textId="77777777" w:rsidR="00371028" w:rsidRDefault="00371028" w:rsidP="00FE66EC">
            <w:pPr>
              <w:pStyle w:val="Text"/>
              <w:ind w:firstLine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&gt;35</w:t>
            </w:r>
          </w:p>
        </w:tc>
        <w:tc>
          <w:tcPr>
            <w:tcW w:w="2120" w:type="dxa"/>
          </w:tcPr>
          <w:p w14:paraId="75FC502E" w14:textId="77777777" w:rsidR="00371028" w:rsidRDefault="00371028" w:rsidP="00FE66EC">
            <w:pPr>
              <w:pStyle w:val="Text"/>
              <w:ind w:firstLine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5.0</w:t>
            </w:r>
          </w:p>
        </w:tc>
        <w:tc>
          <w:tcPr>
            <w:tcW w:w="1681" w:type="dxa"/>
          </w:tcPr>
          <w:p w14:paraId="6B9CEBD8" w14:textId="77777777" w:rsidR="00371028" w:rsidRDefault="00371028" w:rsidP="00FE66EC">
            <w:pPr>
              <w:pStyle w:val="Text"/>
              <w:ind w:firstLine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1.2</w:t>
            </w:r>
          </w:p>
        </w:tc>
      </w:tr>
    </w:tbl>
    <w:p w14:paraId="62354DA5" w14:textId="77777777" w:rsidR="00371028" w:rsidRDefault="00371028" w:rsidP="00FE66EC">
      <w:pPr>
        <w:pStyle w:val="Text"/>
        <w:ind w:firstLine="0"/>
        <w:rPr>
          <w:rFonts w:ascii="Arial" w:hAnsi="Arial" w:cs="Arial"/>
          <w:sz w:val="22"/>
          <w:szCs w:val="22"/>
          <w:lang w:val="en-GB"/>
        </w:rPr>
      </w:pPr>
    </w:p>
    <w:p w14:paraId="31F09F5D" w14:textId="77777777" w:rsidR="00371028" w:rsidRPr="00F96A0A" w:rsidRDefault="00CE53A7" w:rsidP="00FE66EC">
      <w:pPr>
        <w:pStyle w:val="Text"/>
        <w:ind w:firstLine="0"/>
        <w:rPr>
          <w:sz w:val="24"/>
          <w:szCs w:val="24"/>
          <w:lang w:val="it-IT"/>
        </w:rPr>
      </w:pPr>
      <w:r w:rsidRPr="00F96A0A">
        <w:rPr>
          <w:sz w:val="24"/>
          <w:szCs w:val="24"/>
          <w:lang w:val="it-IT"/>
        </w:rPr>
        <w:t>Tabella 2 Fattore correttivo per Magnitudo diversa da 7.5</w:t>
      </w:r>
    </w:p>
    <w:tbl>
      <w:tblPr>
        <w:tblW w:w="4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2150"/>
      </w:tblGrid>
      <w:tr w:rsidR="00371028" w14:paraId="58A1EDDE" w14:textId="77777777">
        <w:trPr>
          <w:trHeight w:val="399"/>
          <w:jc w:val="center"/>
        </w:trPr>
        <w:tc>
          <w:tcPr>
            <w:tcW w:w="2150" w:type="dxa"/>
          </w:tcPr>
          <w:p w14:paraId="771E8641" w14:textId="77777777" w:rsidR="00371028" w:rsidRDefault="00371028" w:rsidP="00FE66EC">
            <w:pPr>
              <w:pStyle w:val="Text"/>
              <w:ind w:firstLine="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Ms</w:t>
            </w:r>
          </w:p>
        </w:tc>
        <w:tc>
          <w:tcPr>
            <w:tcW w:w="2150" w:type="dxa"/>
          </w:tcPr>
          <w:p w14:paraId="691152CA" w14:textId="77777777" w:rsidR="00371028" w:rsidRDefault="00371028" w:rsidP="00FE66EC">
            <w:pPr>
              <w:pStyle w:val="Text"/>
              <w:ind w:firstLine="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CM</w:t>
            </w:r>
          </w:p>
        </w:tc>
      </w:tr>
      <w:tr w:rsidR="00371028" w14:paraId="4201BE49" w14:textId="77777777">
        <w:trPr>
          <w:trHeight w:val="211"/>
          <w:jc w:val="center"/>
        </w:trPr>
        <w:tc>
          <w:tcPr>
            <w:tcW w:w="2150" w:type="dxa"/>
          </w:tcPr>
          <w:p w14:paraId="572F395C" w14:textId="77777777" w:rsidR="00371028" w:rsidRDefault="00371028" w:rsidP="00FE66EC">
            <w:pPr>
              <w:pStyle w:val="Text"/>
              <w:ind w:firstLine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5.5</w:t>
            </w:r>
          </w:p>
        </w:tc>
        <w:tc>
          <w:tcPr>
            <w:tcW w:w="2150" w:type="dxa"/>
          </w:tcPr>
          <w:p w14:paraId="49B864D9" w14:textId="77777777" w:rsidR="00371028" w:rsidRDefault="00371028" w:rsidP="00FE66EC">
            <w:pPr>
              <w:pStyle w:val="Text"/>
              <w:ind w:firstLine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2.86</w:t>
            </w:r>
          </w:p>
        </w:tc>
      </w:tr>
      <w:tr w:rsidR="00371028" w14:paraId="46C4A863" w14:textId="77777777">
        <w:trPr>
          <w:trHeight w:val="211"/>
          <w:jc w:val="center"/>
        </w:trPr>
        <w:tc>
          <w:tcPr>
            <w:tcW w:w="2150" w:type="dxa"/>
          </w:tcPr>
          <w:p w14:paraId="57EDCE1C" w14:textId="77777777" w:rsidR="00371028" w:rsidRDefault="00371028" w:rsidP="00FE66EC">
            <w:pPr>
              <w:pStyle w:val="Text"/>
              <w:ind w:firstLine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Symbol" w:hAnsi="Symbol" w:cs="Arial"/>
                <w:bCs/>
                <w:sz w:val="16"/>
                <w:szCs w:val="16"/>
                <w:lang w:val="it-IT"/>
              </w:rPr>
              <w:t></w:t>
            </w:r>
            <w:r>
              <w:rPr>
                <w:rFonts w:ascii="Symbol" w:hAnsi="Symbol" w:cs="Arial"/>
                <w:bCs/>
                <w:sz w:val="16"/>
                <w:szCs w:val="16"/>
                <w:lang w:val="it-IT"/>
              </w:rPr>
              <w:t></w:t>
            </w:r>
            <w:r>
              <w:rPr>
                <w:rFonts w:ascii="Symbol" w:hAnsi="Symbol" w:cs="Arial"/>
                <w:bCs/>
                <w:sz w:val="16"/>
                <w:szCs w:val="16"/>
                <w:lang w:val="it-IT"/>
              </w:rPr>
              <w:t></w:t>
            </w:r>
          </w:p>
        </w:tc>
        <w:tc>
          <w:tcPr>
            <w:tcW w:w="2150" w:type="dxa"/>
          </w:tcPr>
          <w:p w14:paraId="5908EEF9" w14:textId="77777777" w:rsidR="00371028" w:rsidRDefault="00371028" w:rsidP="00FE66EC">
            <w:pPr>
              <w:pStyle w:val="Text"/>
              <w:ind w:firstLine="0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Symbol" w:hAnsi="Symbol" w:cs="Arial"/>
                <w:bCs/>
                <w:sz w:val="16"/>
                <w:szCs w:val="16"/>
                <w:lang w:val="it-IT"/>
              </w:rPr>
              <w:t></w:t>
            </w:r>
            <w:r>
              <w:rPr>
                <w:rFonts w:ascii="Symbol" w:hAnsi="Symbol" w:cs="Arial"/>
                <w:bCs/>
                <w:sz w:val="16"/>
                <w:szCs w:val="16"/>
                <w:lang w:val="it-IT"/>
              </w:rPr>
              <w:t></w:t>
            </w:r>
            <w:r>
              <w:rPr>
                <w:rFonts w:ascii="Symbol" w:hAnsi="Symbol" w:cs="Arial"/>
                <w:bCs/>
                <w:sz w:val="16"/>
                <w:szCs w:val="16"/>
                <w:lang w:val="it-IT"/>
              </w:rPr>
              <w:t></w:t>
            </w:r>
            <w:r>
              <w:rPr>
                <w:rFonts w:ascii="Symbol" w:hAnsi="Symbol" w:cs="Arial"/>
                <w:bCs/>
                <w:sz w:val="16"/>
                <w:szCs w:val="16"/>
                <w:lang w:val="it-IT"/>
              </w:rPr>
              <w:t></w:t>
            </w:r>
          </w:p>
        </w:tc>
      </w:tr>
      <w:tr w:rsidR="00371028" w14:paraId="681592FB" w14:textId="77777777">
        <w:trPr>
          <w:trHeight w:val="211"/>
          <w:jc w:val="center"/>
        </w:trPr>
        <w:tc>
          <w:tcPr>
            <w:tcW w:w="2150" w:type="dxa"/>
          </w:tcPr>
          <w:p w14:paraId="017CC751" w14:textId="77777777" w:rsidR="00371028" w:rsidRDefault="00371028" w:rsidP="00FE66EC">
            <w:pPr>
              <w:pStyle w:val="Text"/>
              <w:ind w:firstLine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6.5</w:t>
            </w:r>
          </w:p>
        </w:tc>
        <w:tc>
          <w:tcPr>
            <w:tcW w:w="2150" w:type="dxa"/>
          </w:tcPr>
          <w:p w14:paraId="2AF730BD" w14:textId="77777777" w:rsidR="00371028" w:rsidRDefault="00371028" w:rsidP="00FE66EC">
            <w:pPr>
              <w:pStyle w:val="Text"/>
              <w:ind w:firstLine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1.69</w:t>
            </w:r>
          </w:p>
        </w:tc>
      </w:tr>
      <w:tr w:rsidR="00371028" w14:paraId="3ABB6E80" w14:textId="77777777">
        <w:trPr>
          <w:trHeight w:val="211"/>
          <w:jc w:val="center"/>
        </w:trPr>
        <w:tc>
          <w:tcPr>
            <w:tcW w:w="2150" w:type="dxa"/>
          </w:tcPr>
          <w:p w14:paraId="1EB4A81A" w14:textId="77777777" w:rsidR="00371028" w:rsidRDefault="00371028" w:rsidP="00FE66EC">
            <w:pPr>
              <w:pStyle w:val="Text"/>
              <w:ind w:firstLine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7.0</w:t>
            </w:r>
          </w:p>
        </w:tc>
        <w:tc>
          <w:tcPr>
            <w:tcW w:w="2150" w:type="dxa"/>
          </w:tcPr>
          <w:p w14:paraId="13A1A173" w14:textId="77777777" w:rsidR="00371028" w:rsidRDefault="00371028" w:rsidP="00FE66EC">
            <w:pPr>
              <w:pStyle w:val="Text"/>
              <w:ind w:firstLine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1.30</w:t>
            </w:r>
          </w:p>
        </w:tc>
      </w:tr>
      <w:tr w:rsidR="00371028" w14:paraId="10ED86F5" w14:textId="77777777">
        <w:trPr>
          <w:trHeight w:val="211"/>
          <w:jc w:val="center"/>
        </w:trPr>
        <w:tc>
          <w:tcPr>
            <w:tcW w:w="2150" w:type="dxa"/>
          </w:tcPr>
          <w:p w14:paraId="438B0768" w14:textId="77777777" w:rsidR="00371028" w:rsidRDefault="00371028" w:rsidP="00FE66EC">
            <w:pPr>
              <w:pStyle w:val="Text"/>
              <w:ind w:firstLine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8.0</w:t>
            </w:r>
          </w:p>
        </w:tc>
        <w:tc>
          <w:tcPr>
            <w:tcW w:w="2150" w:type="dxa"/>
          </w:tcPr>
          <w:p w14:paraId="47A7F1A1" w14:textId="77777777" w:rsidR="00371028" w:rsidRDefault="00371028" w:rsidP="00FE66EC">
            <w:pPr>
              <w:pStyle w:val="Text"/>
              <w:ind w:firstLine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0.67</w:t>
            </w:r>
          </w:p>
        </w:tc>
      </w:tr>
    </w:tbl>
    <w:p w14:paraId="035F13D7" w14:textId="77777777" w:rsidR="003B1C24" w:rsidRDefault="003B1C24" w:rsidP="00FE66EC">
      <w:pPr>
        <w:jc w:val="both"/>
      </w:pPr>
    </w:p>
    <w:p w14:paraId="7188C05F" w14:textId="77777777" w:rsidR="00945259" w:rsidRDefault="00945259" w:rsidP="00FE66EC">
      <w:pPr>
        <w:jc w:val="both"/>
      </w:pPr>
      <w:r>
        <w:t>Il rischio di liquefazione viene valutato dal rapporto CRR/CSR. Molte normative e linee guide suggeriscono valori di tale fattore di sicurezza superiori a 1.25.</w:t>
      </w:r>
    </w:p>
    <w:p w14:paraId="2648EF3B" w14:textId="77777777" w:rsidR="00654099" w:rsidRDefault="00654099" w:rsidP="00FE66EC">
      <w:pPr>
        <w:jc w:val="both"/>
      </w:pPr>
      <w:r>
        <w:t xml:space="preserve">La resistenza ciclica può essere valutata dalla resistenza penetrometrica di prove CPT (prove penetrometriche statiche) o dalla misura della velocità di propagazione delle onde di taglio (Vs). </w:t>
      </w:r>
      <w:r>
        <w:lastRenderedPageBreak/>
        <w:t xml:space="preserve">Tuttavia, il database di prove CPT o misure di Vs </w:t>
      </w:r>
      <w:smartTag w:uri="urn:schemas-microsoft-com:office:smarttags" w:element="PersonName">
        <w:r>
          <w:t>dis</w:t>
        </w:r>
      </w:smartTag>
      <w:r>
        <w:t>ponibile per stabilire correlazioni empiriche del tipo espresso dall’</w:t>
      </w:r>
      <w:proofErr w:type="spellStart"/>
      <w:r>
        <w:t>eq</w:t>
      </w:r>
      <w:proofErr w:type="spellEnd"/>
      <w:r>
        <w:t>. (3) è decisamente meno ampio e consolidato di quello basata sui risultati di prove SPT.</w:t>
      </w:r>
    </w:p>
    <w:p w14:paraId="570E6181" w14:textId="77777777" w:rsidR="00945259" w:rsidRDefault="00945259" w:rsidP="00FE66EC">
      <w:pPr>
        <w:jc w:val="both"/>
      </w:pPr>
    </w:p>
    <w:p w14:paraId="5DBF7F1B" w14:textId="77777777" w:rsidR="00103B0F" w:rsidRPr="00CF603D" w:rsidRDefault="00103B0F" w:rsidP="00FE66EC">
      <w:pPr>
        <w:jc w:val="both"/>
        <w:rPr>
          <w:b/>
        </w:rPr>
      </w:pPr>
      <w:r w:rsidRPr="00CF603D">
        <w:rPr>
          <w:b/>
        </w:rPr>
        <w:t>Contromisure</w:t>
      </w:r>
    </w:p>
    <w:p w14:paraId="167C2892" w14:textId="77777777" w:rsidR="00C645E3" w:rsidRDefault="00C645E3" w:rsidP="00FE66EC">
      <w:pPr>
        <w:jc w:val="both"/>
        <w:rPr>
          <w:bCs/>
        </w:rPr>
      </w:pPr>
      <w:r>
        <w:rPr>
          <w:bCs/>
        </w:rPr>
        <w:t>Nel caso di depositi liquefacibili è possibile proceder con differenti strategie:</w:t>
      </w:r>
    </w:p>
    <w:p w14:paraId="342D22E2" w14:textId="77777777" w:rsidR="00C645E3" w:rsidRDefault="00C645E3" w:rsidP="00FE66EC">
      <w:pPr>
        <w:numPr>
          <w:ilvl w:val="0"/>
          <w:numId w:val="7"/>
        </w:numPr>
        <w:jc w:val="both"/>
        <w:rPr>
          <w:bCs/>
        </w:rPr>
      </w:pPr>
      <w:r>
        <w:rPr>
          <w:bCs/>
        </w:rPr>
        <w:t>dichiarando il sito non idoneo e rilocalizzando le opere in progetto;</w:t>
      </w:r>
    </w:p>
    <w:p w14:paraId="42A01AA2" w14:textId="77777777" w:rsidR="005F6B5F" w:rsidRDefault="00C645E3" w:rsidP="00FE66EC">
      <w:pPr>
        <w:numPr>
          <w:ilvl w:val="0"/>
          <w:numId w:val="7"/>
        </w:numPr>
        <w:jc w:val="both"/>
        <w:rPr>
          <w:bCs/>
        </w:rPr>
      </w:pPr>
      <w:r>
        <w:rPr>
          <w:bCs/>
        </w:rPr>
        <w:t>mettendo in opera degli interventi mirati a ridurre</w:t>
      </w:r>
      <w:r w:rsidRPr="00C645E3">
        <w:rPr>
          <w:bCs/>
        </w:rPr>
        <w:t xml:space="preserve"> la pericolosità </w:t>
      </w:r>
      <w:r w:rsidR="005F6B5F" w:rsidRPr="00C645E3">
        <w:rPr>
          <w:bCs/>
        </w:rPr>
        <w:t>(Compattazione</w:t>
      </w:r>
      <w:r>
        <w:rPr>
          <w:bCs/>
        </w:rPr>
        <w:t xml:space="preserve"> superficiale o profonda</w:t>
      </w:r>
      <w:r w:rsidR="005F6B5F" w:rsidRPr="00C645E3">
        <w:rPr>
          <w:bCs/>
        </w:rPr>
        <w:t>, cementazione, modifiche granulometriche, abbassamento di falda, pozzi drenanti, diaframmi sotterranei</w:t>
      </w:r>
      <w:r>
        <w:rPr>
          <w:bCs/>
        </w:rPr>
        <w:t xml:space="preserve"> che impe</w:t>
      </w:r>
      <w:smartTag w:uri="urn:schemas-microsoft-com:office:smarttags" w:element="PersonName">
        <w:r>
          <w:rPr>
            <w:bCs/>
          </w:rPr>
          <w:t>dis</w:t>
        </w:r>
      </w:smartTag>
      <w:r>
        <w:rPr>
          <w:bCs/>
        </w:rPr>
        <w:t>cano il propagarsi delle sovrapressioni d’acqua</w:t>
      </w:r>
      <w:r w:rsidR="005F6B5F" w:rsidRPr="00C645E3">
        <w:rPr>
          <w:bCs/>
        </w:rPr>
        <w:t>)</w:t>
      </w:r>
      <w:r>
        <w:rPr>
          <w:bCs/>
        </w:rPr>
        <w:t>;</w:t>
      </w:r>
    </w:p>
    <w:p w14:paraId="132A8D39" w14:textId="77777777" w:rsidR="00C645E3" w:rsidRPr="00C645E3" w:rsidRDefault="00C645E3" w:rsidP="00FE66EC">
      <w:pPr>
        <w:numPr>
          <w:ilvl w:val="0"/>
          <w:numId w:val="7"/>
        </w:numPr>
        <w:jc w:val="both"/>
        <w:rPr>
          <w:bCs/>
        </w:rPr>
      </w:pPr>
      <w:r>
        <w:rPr>
          <w:bCs/>
        </w:rPr>
        <w:t>mettendo in opera degli interventi mirati a ridurre la vulnerabilità delle opere (f</w:t>
      </w:r>
      <w:r w:rsidRPr="00C645E3">
        <w:rPr>
          <w:bCs/>
        </w:rPr>
        <w:t>ondazioni su pali</w:t>
      </w:r>
      <w:r>
        <w:rPr>
          <w:bCs/>
        </w:rPr>
        <w:t xml:space="preserve"> opportunamente incastrati in strati non liquefacibili e opportunamente armati nelle potenziali zone di transizione</w:t>
      </w:r>
      <w:r w:rsidRPr="00C645E3">
        <w:rPr>
          <w:bCs/>
        </w:rPr>
        <w:t xml:space="preserve">, rinforzo delle fondazioni, riduzione del sollevamento, giunti flessibili, controllo deformazioni mediante barriera di pali o </w:t>
      </w:r>
      <w:proofErr w:type="spellStart"/>
      <w:r w:rsidRPr="00C645E3">
        <w:rPr>
          <w:bCs/>
        </w:rPr>
        <w:t>geogriglie</w:t>
      </w:r>
      <w:proofErr w:type="spellEnd"/>
      <w:r w:rsidRPr="00C645E3">
        <w:rPr>
          <w:bCs/>
        </w:rPr>
        <w:t>)</w:t>
      </w:r>
    </w:p>
    <w:p w14:paraId="62788B69" w14:textId="77777777" w:rsidR="005F6B5F" w:rsidRPr="00C645E3" w:rsidRDefault="005F6B5F" w:rsidP="00FE66EC">
      <w:pPr>
        <w:jc w:val="both"/>
        <w:rPr>
          <w:bCs/>
        </w:rPr>
      </w:pPr>
    </w:p>
    <w:p w14:paraId="458934D4" w14:textId="77777777" w:rsidR="00103B0F" w:rsidRDefault="00103B0F" w:rsidP="00FE66EC">
      <w:pPr>
        <w:jc w:val="both"/>
        <w:rPr>
          <w:b/>
        </w:rPr>
      </w:pPr>
      <w:r w:rsidRPr="00E027C3">
        <w:rPr>
          <w:b/>
        </w:rPr>
        <w:t>Bibliografia</w:t>
      </w:r>
    </w:p>
    <w:p w14:paraId="3BBC8241" w14:textId="77777777" w:rsidR="00D06D41" w:rsidRDefault="00D06D41" w:rsidP="00FE66EC">
      <w:pPr>
        <w:spacing w:line="480" w:lineRule="auto"/>
        <w:ind w:left="600" w:hanging="600"/>
        <w:jc w:val="both"/>
        <w:rPr>
          <w:i/>
          <w:iCs/>
          <w:noProof/>
          <w:lang w:val="en-US"/>
        </w:rPr>
      </w:pPr>
      <w:r>
        <w:rPr>
          <w:noProof/>
          <w:lang w:val="en-US"/>
        </w:rPr>
        <w:t xml:space="preserve">Kramer, S.L. (1996) Geotechnical Earthquake Engineering, </w:t>
      </w:r>
      <w:smartTag w:uri="urn:schemas-microsoft-com:office:smarttags" w:element="place">
        <w:smartTag w:uri="urn:schemas-microsoft-com:office:smarttags" w:element="City">
          <w:r>
            <w:rPr>
              <w:i/>
              <w:iCs/>
              <w:noProof/>
              <w:lang w:val="en-US"/>
            </w:rPr>
            <w:t>Prentice-Hall</w:t>
          </w:r>
        </w:smartTag>
        <w:r>
          <w:rPr>
            <w:i/>
            <w:iCs/>
            <w:noProof/>
            <w:lang w:val="en-US"/>
          </w:rPr>
          <w:t xml:space="preserve">, </w:t>
        </w:r>
        <w:smartTag w:uri="urn:schemas-microsoft-com:office:smarttags" w:element="State">
          <w:r>
            <w:rPr>
              <w:i/>
              <w:iCs/>
              <w:noProof/>
              <w:lang w:val="en-US"/>
            </w:rPr>
            <w:t>New Jersey</w:t>
          </w:r>
        </w:smartTag>
      </w:smartTag>
      <w:r>
        <w:rPr>
          <w:i/>
          <w:iCs/>
          <w:noProof/>
          <w:lang w:val="en-US"/>
        </w:rPr>
        <w:t>, pp.653.</w:t>
      </w:r>
    </w:p>
    <w:p w14:paraId="49DDDE44" w14:textId="77777777" w:rsidR="00E027C3" w:rsidRDefault="00E027C3" w:rsidP="00FE66EC">
      <w:pPr>
        <w:spacing w:line="480" w:lineRule="auto"/>
        <w:ind w:left="600" w:hanging="600"/>
        <w:jc w:val="both"/>
        <w:rPr>
          <w:lang w:eastAsia="en-US"/>
        </w:rPr>
      </w:pPr>
      <w:r w:rsidRPr="00E027C3">
        <w:t xml:space="preserve">Lo Presti D., Mensi E., Squeglia N. </w:t>
      </w:r>
      <w:r>
        <w:t>(</w:t>
      </w:r>
      <w:r w:rsidRPr="00E027C3">
        <w:t>2007</w:t>
      </w:r>
      <w:r>
        <w:t>)</w:t>
      </w:r>
      <w:r w:rsidRPr="00E027C3">
        <w:t xml:space="preserve"> </w:t>
      </w:r>
      <w:r w:rsidRPr="00E027C3">
        <w:rPr>
          <w:lang w:eastAsia="en-US"/>
        </w:rPr>
        <w:t>Valutazione del rischio di liquefazione ai sensi dell'OPCM 3274 (e successive modificazioni) e EC8: un'analisi critica</w:t>
      </w:r>
      <w:r>
        <w:rPr>
          <w:lang w:eastAsia="en-US"/>
        </w:rPr>
        <w:t>. In Seminari di Geotecnica sulla Normativa antisismica. Dipartimento di Ingegneria Civile, Università di Pisa.</w:t>
      </w:r>
    </w:p>
    <w:p w14:paraId="5FA4AAB2" w14:textId="77777777" w:rsidR="00E027C3" w:rsidRPr="00E027C3" w:rsidRDefault="00E027C3" w:rsidP="00FE66EC">
      <w:pPr>
        <w:spacing w:line="480" w:lineRule="auto"/>
        <w:ind w:left="600" w:hanging="600"/>
        <w:jc w:val="both"/>
      </w:pPr>
      <w:r>
        <w:t xml:space="preserve">Pasqualini E. (1989) La Liquefazione dei terreni non coesivi. </w:t>
      </w:r>
      <w:r>
        <w:rPr>
          <w:i/>
          <w:iCs/>
        </w:rPr>
        <w:t>XIV Ciclo delle Conferenze di Geotecnica di Torino. Politecnico di Torino. Dipartimento di Ingegneria Strutturale e Geotecnica.</w:t>
      </w:r>
    </w:p>
    <w:p w14:paraId="4B356041" w14:textId="77777777" w:rsidR="00D06D41" w:rsidRDefault="00D06D41" w:rsidP="00FE66EC">
      <w:pPr>
        <w:spacing w:line="480" w:lineRule="auto"/>
        <w:ind w:left="600" w:hanging="600"/>
        <w:jc w:val="both"/>
        <w:rPr>
          <w:noProof/>
          <w:lang w:val="en-US"/>
        </w:rPr>
      </w:pPr>
      <w:r>
        <w:rPr>
          <w:noProof/>
          <w:lang w:val="en-US"/>
        </w:rPr>
        <w:t>TC4-ISSMGE (1993). Manual for Zonation on Seismic Geotechnical Hazards (Revised Version). Technical Committee for Earthquake Geotechnical Engineering, TC4, ISSMGE, Published by the Japanese Geotechnical Society.</w:t>
      </w:r>
    </w:p>
    <w:p w14:paraId="59BA858A" w14:textId="77777777" w:rsidR="00D06D41" w:rsidRDefault="00D06D41" w:rsidP="00FE66EC">
      <w:pPr>
        <w:spacing w:line="480" w:lineRule="auto"/>
        <w:ind w:left="600" w:hanging="600"/>
        <w:jc w:val="both"/>
        <w:rPr>
          <w:noProof/>
          <w:lang w:val="en-US"/>
        </w:rPr>
      </w:pPr>
      <w:r>
        <w:rPr>
          <w:noProof/>
          <w:lang w:val="en-US"/>
        </w:rPr>
        <w:t>TC4-ISSMGE (2001) Case Histories for Post-Liquefaction Remediaton. Technical Committee for Earthquake Geotechnical Engineering, TC4, ISSMGE, Published by the Japanese Geotechnical Society</w:t>
      </w:r>
    </w:p>
    <w:p w14:paraId="63A1D67F" w14:textId="77777777" w:rsidR="00D06D41" w:rsidRPr="00B01181" w:rsidRDefault="00D06D41" w:rsidP="00FE66EC">
      <w:pPr>
        <w:spacing w:line="480" w:lineRule="auto"/>
        <w:ind w:left="600" w:hanging="600"/>
        <w:jc w:val="both"/>
        <w:rPr>
          <w:lang w:val="en-GB"/>
        </w:rPr>
      </w:pPr>
      <w:proofErr w:type="spellStart"/>
      <w:r>
        <w:rPr>
          <w:lang w:val="en-US"/>
        </w:rPr>
        <w:t>Youd</w:t>
      </w:r>
      <w:proofErr w:type="spellEnd"/>
      <w:r>
        <w:rPr>
          <w:lang w:val="en-US"/>
        </w:rPr>
        <w:t xml:space="preserve"> T.L. &amp; </w:t>
      </w:r>
      <w:proofErr w:type="spellStart"/>
      <w:r>
        <w:rPr>
          <w:lang w:val="en-US"/>
        </w:rPr>
        <w:t>Idriss</w:t>
      </w:r>
      <w:proofErr w:type="spellEnd"/>
      <w:r>
        <w:rPr>
          <w:lang w:val="en-US"/>
        </w:rPr>
        <w:t xml:space="preserve"> I.M. (2001). Liquefaction Resistance of Soils: Summary Report from the 1996 NCEER and 1998 NCEER/NSF Workshops on Evaluation of Liquefaction resistance of Soils. </w:t>
      </w:r>
      <w:r>
        <w:rPr>
          <w:i/>
          <w:iCs/>
          <w:lang w:val="en-US"/>
        </w:rPr>
        <w:t xml:space="preserve">Journal of Geotechnical and </w:t>
      </w:r>
      <w:proofErr w:type="spellStart"/>
      <w:r>
        <w:rPr>
          <w:i/>
          <w:iCs/>
          <w:lang w:val="en-US"/>
        </w:rPr>
        <w:t>Geoenvironmental</w:t>
      </w:r>
      <w:proofErr w:type="spellEnd"/>
      <w:r>
        <w:rPr>
          <w:i/>
          <w:iCs/>
          <w:lang w:val="en-US"/>
        </w:rPr>
        <w:t xml:space="preserve"> Engineering</w:t>
      </w:r>
      <w:r>
        <w:rPr>
          <w:lang w:val="en-US"/>
        </w:rPr>
        <w:t xml:space="preserve">. </w:t>
      </w:r>
      <w:r w:rsidRPr="00B01181">
        <w:rPr>
          <w:lang w:val="en-GB"/>
        </w:rPr>
        <w:t>127(4): 297-313.</w:t>
      </w:r>
    </w:p>
    <w:p w14:paraId="52AEBE65" w14:textId="77777777" w:rsidR="00D06D41" w:rsidRPr="00F13674" w:rsidRDefault="00F13674" w:rsidP="00FE66EC">
      <w:pPr>
        <w:jc w:val="both"/>
        <w:rPr>
          <w:b/>
          <w:lang w:val="en-US"/>
        </w:rPr>
      </w:pPr>
      <w:proofErr w:type="spellStart"/>
      <w:r w:rsidRPr="00F13674">
        <w:rPr>
          <w:b/>
          <w:highlight w:val="cyan"/>
          <w:lang w:val="en-US"/>
        </w:rPr>
        <w:t>Glossario</w:t>
      </w:r>
      <w:proofErr w:type="spellEnd"/>
    </w:p>
    <w:sectPr w:rsidR="00D06D41" w:rsidRPr="00F13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184F"/>
    <w:multiLevelType w:val="hybridMultilevel"/>
    <w:tmpl w:val="8C2A9E0A"/>
    <w:lvl w:ilvl="0" w:tplc="F19EC866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Arial" w:eastAsia="MS Mincho" w:hAnsi="Arial" w:cs="Arial" w:hint="default"/>
        <w:b w:val="0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1" w15:restartNumberingAfterBreak="0">
    <w:nsid w:val="0AD362AD"/>
    <w:multiLevelType w:val="hybridMultilevel"/>
    <w:tmpl w:val="AE080460"/>
    <w:lvl w:ilvl="0" w:tplc="4FF61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F45EB2">
      <w:start w:val="16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86B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886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54D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16C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C68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A2C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665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F9F5E5F"/>
    <w:multiLevelType w:val="hybridMultilevel"/>
    <w:tmpl w:val="692C1646"/>
    <w:lvl w:ilvl="0" w:tplc="F0E8B4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12F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A26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366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A03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C84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EA6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861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18C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1F4245C"/>
    <w:multiLevelType w:val="hybridMultilevel"/>
    <w:tmpl w:val="160C3A1E"/>
    <w:lvl w:ilvl="0" w:tplc="F244BDAA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9007F0" w:tentative="1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10DEE6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ACE31A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C43BE2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A80A36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300E14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C05AA0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86937C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7C25062"/>
    <w:multiLevelType w:val="hybridMultilevel"/>
    <w:tmpl w:val="E98AD0A2"/>
    <w:lvl w:ilvl="0" w:tplc="63681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C65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44B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E6E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32F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7E8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EC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2F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6E0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DCC780D"/>
    <w:multiLevelType w:val="hybridMultilevel"/>
    <w:tmpl w:val="3F72702C"/>
    <w:lvl w:ilvl="0" w:tplc="C4DE26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F3874"/>
    <w:multiLevelType w:val="hybridMultilevel"/>
    <w:tmpl w:val="001A51CA"/>
    <w:lvl w:ilvl="0" w:tplc="23B64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300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387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6E3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C20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8E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C00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A82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20F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040230416">
    <w:abstractNumId w:val="3"/>
  </w:num>
  <w:num w:numId="2" w16cid:durableId="272712846">
    <w:abstractNumId w:val="2"/>
  </w:num>
  <w:num w:numId="3" w16cid:durableId="785928883">
    <w:abstractNumId w:val="0"/>
  </w:num>
  <w:num w:numId="4" w16cid:durableId="1366904007">
    <w:abstractNumId w:val="1"/>
  </w:num>
  <w:num w:numId="5" w16cid:durableId="625236576">
    <w:abstractNumId w:val="4"/>
  </w:num>
  <w:num w:numId="6" w16cid:durableId="1441561981">
    <w:abstractNumId w:val="6"/>
  </w:num>
  <w:num w:numId="7" w16cid:durableId="17886938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B0F"/>
    <w:rsid w:val="000F4E64"/>
    <w:rsid w:val="00103B0F"/>
    <w:rsid w:val="0015061D"/>
    <w:rsid w:val="00185269"/>
    <w:rsid w:val="001C326F"/>
    <w:rsid w:val="0028349D"/>
    <w:rsid w:val="00302DD4"/>
    <w:rsid w:val="00371028"/>
    <w:rsid w:val="003B1C24"/>
    <w:rsid w:val="00530189"/>
    <w:rsid w:val="005F6B5F"/>
    <w:rsid w:val="00654099"/>
    <w:rsid w:val="006820EE"/>
    <w:rsid w:val="00697C42"/>
    <w:rsid w:val="006C1100"/>
    <w:rsid w:val="00724E7A"/>
    <w:rsid w:val="00945259"/>
    <w:rsid w:val="009F21ED"/>
    <w:rsid w:val="00A974E4"/>
    <w:rsid w:val="00B0127C"/>
    <w:rsid w:val="00C645E3"/>
    <w:rsid w:val="00C837DF"/>
    <w:rsid w:val="00C83FA5"/>
    <w:rsid w:val="00CB605F"/>
    <w:rsid w:val="00CE53A7"/>
    <w:rsid w:val="00CE795C"/>
    <w:rsid w:val="00CF603D"/>
    <w:rsid w:val="00D06D41"/>
    <w:rsid w:val="00D24E41"/>
    <w:rsid w:val="00D27D8C"/>
    <w:rsid w:val="00DC3819"/>
    <w:rsid w:val="00DE2220"/>
    <w:rsid w:val="00DF4493"/>
    <w:rsid w:val="00E027C3"/>
    <w:rsid w:val="00E069AE"/>
    <w:rsid w:val="00ED61A8"/>
    <w:rsid w:val="00F13674"/>
    <w:rsid w:val="00F31BFF"/>
    <w:rsid w:val="00F96A0A"/>
    <w:rsid w:val="00FE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2E9BC377"/>
  <w15:chartTrackingRefBased/>
  <w15:docId w15:val="{9550F2C0-C402-426E-A3DC-D0E52EB8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Text"/>
    <w:qFormat/>
    <w:rsid w:val="00371028"/>
    <w:pPr>
      <w:ind w:left="545" w:hangingChars="303" w:hanging="545"/>
    </w:pPr>
    <w:rPr>
      <w:rFonts w:eastAsia="MS Mincho"/>
      <w:snapToGrid w:val="0"/>
      <w:sz w:val="18"/>
      <w:szCs w:val="20"/>
      <w:lang w:val="en-US" w:eastAsia="en-US"/>
    </w:rPr>
  </w:style>
  <w:style w:type="paragraph" w:customStyle="1" w:styleId="Text">
    <w:name w:val="Text"/>
    <w:basedOn w:val="Normale"/>
    <w:rsid w:val="00371028"/>
    <w:pPr>
      <w:widowControl w:val="0"/>
      <w:autoSpaceDE w:val="0"/>
      <w:autoSpaceDN w:val="0"/>
      <w:ind w:firstLine="340"/>
      <w:jc w:val="both"/>
    </w:pPr>
    <w:rPr>
      <w:rFonts w:eastAsia="MS Mincho"/>
      <w:sz w:val="20"/>
      <w:szCs w:val="20"/>
      <w:lang w:val="en-US" w:eastAsia="en-US"/>
    </w:rPr>
  </w:style>
  <w:style w:type="paragraph" w:customStyle="1" w:styleId="xl22">
    <w:name w:val="xl22"/>
    <w:basedOn w:val="Normale"/>
    <w:rsid w:val="00E027C3"/>
    <w:pPr>
      <w:spacing w:before="100" w:beforeAutospacing="1" w:after="100" w:afterAutospacing="1"/>
      <w:jc w:val="center"/>
      <w:textAlignment w:val="center"/>
    </w:pPr>
    <w:rPr>
      <w:rFonts w:ascii="Symbol" w:hAnsi="Symbol"/>
      <w:b/>
      <w:bCs/>
    </w:rPr>
  </w:style>
  <w:style w:type="paragraph" w:styleId="Corpodeltesto2">
    <w:name w:val="Body Text 2"/>
    <w:basedOn w:val="Normale"/>
    <w:rsid w:val="00E027C3"/>
    <w:pPr>
      <w:jc w:val="both"/>
    </w:pPr>
    <w:rPr>
      <w:b/>
      <w:sz w:val="48"/>
      <w:szCs w:val="48"/>
      <w:lang w:val="en-US"/>
    </w:rPr>
  </w:style>
  <w:style w:type="paragraph" w:styleId="Testonotaapidipagina">
    <w:name w:val="footnote text"/>
    <w:basedOn w:val="Normale"/>
    <w:semiHidden/>
    <w:rsid w:val="00E027C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E027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2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1997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SU LIQUEFAZIONE</vt:lpstr>
    </vt:vector>
  </TitlesOfParts>
  <Company>Dip. Ing. Civile</Company>
  <LinksUpToDate>false</LinksUpToDate>
  <CharactersWithSpaces>13358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SU LIQUEFAZIONE</dc:title>
  <dc:subject/>
  <dc:creator>Lo Presti Diego</dc:creator>
  <cp:keywords/>
  <dc:description/>
  <cp:lastModifiedBy>Fabrizio Bendia</cp:lastModifiedBy>
  <cp:revision>2</cp:revision>
  <dcterms:created xsi:type="dcterms:W3CDTF">2023-04-11T09:49:00Z</dcterms:created>
  <dcterms:modified xsi:type="dcterms:W3CDTF">2023-04-11T09:49:00Z</dcterms:modified>
</cp:coreProperties>
</file>